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A1C00" w14:textId="326A8E73" w:rsidR="0009527B" w:rsidRPr="0009527B" w:rsidRDefault="0009527B" w:rsidP="0009527B">
      <w:pPr>
        <w:spacing w:before="160" w:after="210" w:line="360" w:lineRule="auto"/>
        <w:jc w:val="center"/>
        <w:rPr>
          <w:rFonts w:ascii="inter" w:eastAsia="inter" w:hAnsi="inter" w:cs="inter"/>
          <w:b/>
          <w:bCs/>
          <w:color w:val="000000"/>
          <w:sz w:val="28"/>
          <w:szCs w:val="28"/>
        </w:rPr>
      </w:pPr>
      <w:r w:rsidRPr="0009527B">
        <w:rPr>
          <w:rFonts w:ascii="inter" w:eastAsia="inter" w:hAnsi="inter" w:cs="inter"/>
          <w:b/>
          <w:bCs/>
          <w:color w:val="000000"/>
          <w:sz w:val="28"/>
          <w:szCs w:val="28"/>
        </w:rPr>
        <w:t>Estate Taxation Basics</w:t>
      </w:r>
    </w:p>
    <w:p w14:paraId="4DBD5B99" w14:textId="06F3E0F7" w:rsidR="00852A05" w:rsidRDefault="00000000" w:rsidP="00126827">
      <w:pPr>
        <w:spacing w:before="160" w:after="210" w:line="360" w:lineRule="auto"/>
      </w:pPr>
      <w:r>
        <w:rPr>
          <w:rFonts w:ascii="inter" w:eastAsia="inter" w:hAnsi="inter" w:cs="inter"/>
          <w:color w:val="000000"/>
        </w:rPr>
        <w:t xml:space="preserve">When someone dies, several different </w:t>
      </w:r>
      <w:r>
        <w:rPr>
          <w:rFonts w:ascii="inter" w:eastAsia="inter" w:hAnsi="inter" w:cs="inter"/>
          <w:b/>
          <w:color w:val="000000"/>
        </w:rPr>
        <w:t>taxes</w:t>
      </w:r>
      <w:r>
        <w:rPr>
          <w:rFonts w:ascii="inter" w:eastAsia="inter" w:hAnsi="inter" w:cs="inter"/>
          <w:color w:val="000000"/>
        </w:rPr>
        <w:t xml:space="preserve"> can affect what their family </w:t>
      </w:r>
      <w:proofErr w:type="gramStart"/>
      <w:r>
        <w:rPr>
          <w:rFonts w:ascii="inter" w:eastAsia="inter" w:hAnsi="inter" w:cs="inter"/>
          <w:color w:val="000000"/>
        </w:rPr>
        <w:t>actually receives</w:t>
      </w:r>
      <w:proofErr w:type="gramEnd"/>
      <w:r>
        <w:rPr>
          <w:rFonts w:ascii="inter" w:eastAsia="inter" w:hAnsi="inter" w:cs="inter"/>
          <w:color w:val="000000"/>
        </w:rPr>
        <w:t>, but most modest and mid‑size estates will never pay federal estate tax and will instead encounter state inheritance tax and ongoing income tax issues for beneficiaries. This overview is designed as plain‑English education for your estate‑planning intake process, not legal or tax advice.</w:t>
      </w:r>
      <w:bookmarkStart w:id="0" w:name="fnref1"/>
      <w:bookmarkEnd w:id="0"/>
      <w:r>
        <w:fldChar w:fldCharType="begin"/>
      </w:r>
      <w:r>
        <w:instrText>HYPERLINK \l "fn1" \h</w:instrText>
      </w:r>
      <w:r>
        <w:fldChar w:fldCharType="separate"/>
      </w:r>
      <w:r>
        <w:fldChar w:fldCharType="end"/>
      </w:r>
      <w:bookmarkStart w:id="1" w:name="fnref2"/>
      <w:bookmarkEnd w:id="1"/>
      <w:r>
        <w:fldChar w:fldCharType="begin"/>
      </w:r>
      <w:r>
        <w:instrText>HYPERLINK \l "fn2" \h</w:instrText>
      </w:r>
      <w:r>
        <w:fldChar w:fldCharType="separate"/>
      </w:r>
      <w:r>
        <w:fldChar w:fldCharType="end"/>
      </w:r>
    </w:p>
    <w:p w14:paraId="746FDA8A" w14:textId="77777777" w:rsidR="00852A05" w:rsidRDefault="00000000">
      <w:pPr>
        <w:spacing w:before="315" w:after="105" w:line="360" w:lineRule="auto"/>
        <w:ind w:left="-30"/>
      </w:pPr>
      <w:bookmarkStart w:id="2" w:name="federal_estate_tax"/>
      <w:r>
        <w:rPr>
          <w:rFonts w:ascii="inter" w:eastAsia="inter" w:hAnsi="inter" w:cs="inter"/>
          <w:b/>
          <w:color w:val="000000"/>
          <w:sz w:val="24"/>
        </w:rPr>
        <w:t>Federal estate tax</w:t>
      </w:r>
      <w:bookmarkEnd w:id="2"/>
    </w:p>
    <w:p w14:paraId="021FD7CC" w14:textId="1CD8BDCC" w:rsidR="00852A05" w:rsidRDefault="00000000">
      <w:pPr>
        <w:spacing w:after="210" w:line="360" w:lineRule="auto"/>
      </w:pPr>
      <w:r>
        <w:rPr>
          <w:rFonts w:ascii="inter" w:eastAsia="inter" w:hAnsi="inter" w:cs="inter"/>
          <w:color w:val="000000"/>
        </w:rPr>
        <w:t>The federal estate tax is a transfer tax on the value of what a person owns or controls at death, above a large “exemption” amount. For 202</w:t>
      </w:r>
      <w:r w:rsidR="00C43BF3">
        <w:rPr>
          <w:rFonts w:ascii="inter" w:eastAsia="inter" w:hAnsi="inter" w:cs="inter"/>
          <w:color w:val="000000"/>
        </w:rPr>
        <w:t>6</w:t>
      </w:r>
      <w:r>
        <w:rPr>
          <w:rFonts w:ascii="inter" w:eastAsia="inter" w:hAnsi="inter" w:cs="inter"/>
          <w:color w:val="000000"/>
        </w:rPr>
        <w:t xml:space="preserve">, the federal estate and gift tax exemption is about </w:t>
      </w:r>
      <w:r w:rsidR="00C43BF3">
        <w:rPr>
          <w:rFonts w:ascii="inter" w:eastAsia="inter" w:hAnsi="inter" w:cs="inter"/>
          <w:color w:val="000000"/>
        </w:rPr>
        <w:t>$</w:t>
      </w:r>
      <w:r>
        <w:rPr>
          <w:rFonts w:ascii="inter" w:eastAsia="inter" w:hAnsi="inter" w:cs="inter"/>
          <w:color w:val="000000"/>
        </w:rPr>
        <w:t>1</w:t>
      </w:r>
      <w:r w:rsidR="00C43BF3">
        <w:rPr>
          <w:rFonts w:ascii="inter" w:eastAsia="inter" w:hAnsi="inter" w:cs="inter"/>
          <w:color w:val="000000"/>
        </w:rPr>
        <w:t>5</w:t>
      </w:r>
      <w:r>
        <w:rPr>
          <w:rFonts w:ascii="inter" w:eastAsia="inter" w:hAnsi="inter" w:cs="inter"/>
          <w:color w:val="000000"/>
        </w:rPr>
        <w:t xml:space="preserve"> million per person, with a top tax rate of 40% on amounts over the exemption.</w:t>
      </w:r>
      <w:bookmarkStart w:id="3" w:name="fnref3"/>
      <w:bookmarkEnd w:id="3"/>
      <w:r>
        <w:fldChar w:fldCharType="begin"/>
      </w:r>
      <w:r>
        <w:instrText>HYPERLINK \l "fn3" \h</w:instrText>
      </w:r>
      <w:r>
        <w:fldChar w:fldCharType="separate"/>
      </w:r>
      <w:r>
        <w:fldChar w:fldCharType="end"/>
      </w:r>
      <w:bookmarkStart w:id="4" w:name="fnref4"/>
      <w:bookmarkEnd w:id="4"/>
      <w:r>
        <w:fldChar w:fldCharType="begin"/>
      </w:r>
      <w:r>
        <w:instrText>HYPERLINK \l "fn4" \h</w:instrText>
      </w:r>
      <w:r>
        <w:fldChar w:fldCharType="separate"/>
      </w:r>
      <w:r>
        <w:fldChar w:fldCharType="end"/>
      </w:r>
      <w:bookmarkStart w:id="5" w:name="fnref1_1"/>
      <w:bookmarkEnd w:id="5"/>
      <w:r>
        <w:fldChar w:fldCharType="begin"/>
      </w:r>
      <w:r>
        <w:instrText>HYPERLINK \l "fn1" \h</w:instrText>
      </w:r>
      <w:r>
        <w:fldChar w:fldCharType="separate"/>
      </w:r>
      <w:r>
        <w:fldChar w:fldCharType="end"/>
      </w:r>
    </w:p>
    <w:p w14:paraId="1AA663BC" w14:textId="0455F532" w:rsidR="00852A05" w:rsidRDefault="00000000">
      <w:pPr>
        <w:numPr>
          <w:ilvl w:val="0"/>
          <w:numId w:val="1"/>
        </w:numPr>
        <w:spacing w:before="105" w:after="105" w:line="360" w:lineRule="auto"/>
      </w:pPr>
      <w:r>
        <w:rPr>
          <w:rFonts w:ascii="inter" w:eastAsia="inter" w:hAnsi="inter" w:cs="inter"/>
          <w:color w:val="000000"/>
        </w:rPr>
        <w:t>Most clients’ estates are below this exemption and will not owe federal estate tax, even though they may still face state inheritance or income taxes.</w:t>
      </w:r>
      <w:bookmarkStart w:id="6" w:name="fnref5"/>
      <w:bookmarkEnd w:id="6"/>
      <w:r>
        <w:fldChar w:fldCharType="begin"/>
      </w:r>
      <w:r>
        <w:instrText>HYPERLINK \l "fn5" \h</w:instrText>
      </w:r>
      <w:r>
        <w:fldChar w:fldCharType="separate"/>
      </w:r>
      <w:r>
        <w:fldChar w:fldCharType="end"/>
      </w:r>
      <w:bookmarkStart w:id="7" w:name="fnref1_2"/>
      <w:bookmarkEnd w:id="7"/>
      <w:r>
        <w:fldChar w:fldCharType="begin"/>
      </w:r>
      <w:r>
        <w:instrText>HYPERLINK \l "fn1" \h</w:instrText>
      </w:r>
      <w:r>
        <w:fldChar w:fldCharType="separate"/>
      </w:r>
      <w:r>
        <w:fldChar w:fldCharType="end"/>
      </w:r>
    </w:p>
    <w:p w14:paraId="7C4CE6BB" w14:textId="4D59441A" w:rsidR="00852A05" w:rsidRDefault="00000000">
      <w:pPr>
        <w:numPr>
          <w:ilvl w:val="0"/>
          <w:numId w:val="1"/>
        </w:numPr>
        <w:spacing w:before="105" w:after="105" w:line="360" w:lineRule="auto"/>
      </w:pPr>
      <w:r>
        <w:rPr>
          <w:rFonts w:ascii="inter" w:eastAsia="inter" w:hAnsi="inter" w:cs="inter"/>
          <w:color w:val="000000"/>
        </w:rPr>
        <w:t xml:space="preserve">Married spouses can often “stack” or preserve both exemptions (with proper planning), so a couple may shield roughly </w:t>
      </w:r>
      <w:r w:rsidR="00C43BF3">
        <w:rPr>
          <w:rFonts w:ascii="inter" w:eastAsia="inter" w:hAnsi="inter" w:cs="inter"/>
          <w:color w:val="000000"/>
        </w:rPr>
        <w:t>$30</w:t>
      </w:r>
      <w:r>
        <w:rPr>
          <w:rFonts w:ascii="inter" w:eastAsia="inter" w:hAnsi="inter" w:cs="inter"/>
          <w:color w:val="000000"/>
        </w:rPr>
        <w:t xml:space="preserve"> million in 202</w:t>
      </w:r>
      <w:r w:rsidR="00C43BF3">
        <w:rPr>
          <w:rFonts w:ascii="inter" w:eastAsia="inter" w:hAnsi="inter" w:cs="inter"/>
          <w:color w:val="000000"/>
        </w:rPr>
        <w:t>6</w:t>
      </w:r>
      <w:r>
        <w:rPr>
          <w:rFonts w:ascii="inter" w:eastAsia="inter" w:hAnsi="inter" w:cs="inter"/>
          <w:color w:val="000000"/>
        </w:rPr>
        <w:t>, subject to future law changes.</w:t>
      </w:r>
      <w:bookmarkStart w:id="8" w:name="fnref4_1"/>
      <w:bookmarkEnd w:id="8"/>
      <w:r>
        <w:fldChar w:fldCharType="begin"/>
      </w:r>
      <w:r>
        <w:instrText>HYPERLINK \l "fn4" \h</w:instrText>
      </w:r>
      <w:r>
        <w:fldChar w:fldCharType="separate"/>
      </w:r>
      <w:r>
        <w:fldChar w:fldCharType="end"/>
      </w:r>
      <w:bookmarkStart w:id="9" w:name="fnref1_3"/>
      <w:bookmarkEnd w:id="9"/>
      <w:r>
        <w:fldChar w:fldCharType="begin"/>
      </w:r>
      <w:r>
        <w:instrText>HYPERLINK \l "fn1" \h</w:instrText>
      </w:r>
      <w:r>
        <w:fldChar w:fldCharType="separate"/>
      </w:r>
      <w:r>
        <w:fldChar w:fldCharType="end"/>
      </w:r>
    </w:p>
    <w:p w14:paraId="2D3C970F" w14:textId="58B0C1EC" w:rsidR="00852A05" w:rsidRDefault="00000000">
      <w:pPr>
        <w:numPr>
          <w:ilvl w:val="0"/>
          <w:numId w:val="1"/>
        </w:numPr>
        <w:spacing w:before="105" w:after="105" w:line="360" w:lineRule="auto"/>
      </w:pPr>
      <w:r>
        <w:rPr>
          <w:rFonts w:ascii="inter" w:eastAsia="inter" w:hAnsi="inter" w:cs="inter"/>
          <w:color w:val="000000"/>
        </w:rPr>
        <w:t>Congress has changed estate‑tax exemptions several times and may do so again, so planning must assume the rules could be different in the future.</w:t>
      </w:r>
      <w:bookmarkStart w:id="10" w:name="fnref6"/>
      <w:bookmarkEnd w:id="10"/>
      <w:r>
        <w:fldChar w:fldCharType="begin"/>
      </w:r>
      <w:r>
        <w:instrText>HYPERLINK \l "fn6" \h</w:instrText>
      </w:r>
      <w:r>
        <w:fldChar w:fldCharType="separate"/>
      </w:r>
      <w:r>
        <w:fldChar w:fldCharType="end"/>
      </w:r>
      <w:bookmarkStart w:id="11" w:name="fnref7"/>
      <w:bookmarkEnd w:id="11"/>
      <w:r>
        <w:fldChar w:fldCharType="begin"/>
      </w:r>
      <w:r>
        <w:instrText>HYPERLINK \l "fn7" \h</w:instrText>
      </w:r>
      <w:r>
        <w:fldChar w:fldCharType="separate"/>
      </w:r>
      <w:r>
        <w:fldChar w:fldCharType="end"/>
      </w:r>
    </w:p>
    <w:p w14:paraId="087BEF7F" w14:textId="7C6AD1DF" w:rsidR="00852A05" w:rsidRDefault="00000000">
      <w:pPr>
        <w:spacing w:before="315" w:after="105" w:line="360" w:lineRule="auto"/>
        <w:ind w:left="-30"/>
        <w:rPr>
          <w:rFonts w:ascii="inter" w:eastAsia="inter" w:hAnsi="inter" w:cs="inter"/>
          <w:b/>
          <w:color w:val="000000"/>
          <w:sz w:val="24"/>
        </w:rPr>
      </w:pPr>
      <w:bookmarkStart w:id="12" w:name="state_inheritance_taxes_focus_on_pa"/>
      <w:r>
        <w:rPr>
          <w:rFonts w:ascii="inter" w:eastAsia="inter" w:hAnsi="inter" w:cs="inter"/>
          <w:b/>
          <w:color w:val="000000"/>
          <w:sz w:val="24"/>
        </w:rPr>
        <w:t xml:space="preserve">State inheritance taxes </w:t>
      </w:r>
      <w:bookmarkEnd w:id="12"/>
    </w:p>
    <w:p w14:paraId="6C34F393" w14:textId="5CBA5828" w:rsidR="00051FBE" w:rsidRDefault="00051FBE">
      <w:pPr>
        <w:spacing w:before="315" w:after="105" w:line="360" w:lineRule="auto"/>
        <w:ind w:left="-30"/>
        <w:rPr>
          <w:rFonts w:ascii="inter" w:eastAsia="inter" w:hAnsi="inter" w:cs="inter"/>
          <w:b/>
          <w:color w:val="000000"/>
          <w:sz w:val="24"/>
        </w:rPr>
      </w:pPr>
      <w:r>
        <w:rPr>
          <w:rFonts w:ascii="inter" w:eastAsia="inter" w:hAnsi="inter" w:cs="inter"/>
          <w:b/>
          <w:color w:val="000000"/>
          <w:sz w:val="24"/>
        </w:rPr>
        <w:t>Florida</w:t>
      </w:r>
    </w:p>
    <w:p w14:paraId="48CBA158" w14:textId="05DF1668" w:rsidR="00051FBE" w:rsidRPr="00051FBE" w:rsidRDefault="00051FBE">
      <w:pPr>
        <w:spacing w:before="315" w:after="105" w:line="360" w:lineRule="auto"/>
        <w:ind w:left="-30"/>
        <w:rPr>
          <w:rFonts w:ascii="inter" w:eastAsia="inter" w:hAnsi="inter" w:cs="inter"/>
          <w:bCs/>
          <w:color w:val="000000"/>
          <w:sz w:val="24"/>
        </w:rPr>
      </w:pPr>
      <w:r>
        <w:rPr>
          <w:rFonts w:ascii="inter" w:eastAsia="inter" w:hAnsi="inter" w:cs="inter"/>
          <w:bCs/>
          <w:color w:val="000000"/>
          <w:sz w:val="24"/>
        </w:rPr>
        <w:t>Florida has no state inheritance taxes.  It does have an Estate Tax but only if the person is subject to federal estate taxes (Estate valued at more than $15,000,000).</w:t>
      </w:r>
    </w:p>
    <w:p w14:paraId="57A922A0" w14:textId="4EA006E2" w:rsidR="00051FBE" w:rsidRDefault="00051FBE">
      <w:pPr>
        <w:spacing w:before="315" w:after="105" w:line="360" w:lineRule="auto"/>
        <w:ind w:left="-30"/>
      </w:pPr>
      <w:r>
        <w:rPr>
          <w:rFonts w:ascii="inter" w:eastAsia="inter" w:hAnsi="inter" w:cs="inter"/>
          <w:b/>
          <w:color w:val="000000"/>
          <w:sz w:val="24"/>
        </w:rPr>
        <w:t>Pennsylvania</w:t>
      </w:r>
    </w:p>
    <w:p w14:paraId="159F94D6" w14:textId="5A600D98" w:rsidR="00852A05" w:rsidRDefault="00000000">
      <w:pPr>
        <w:spacing w:after="210" w:line="360" w:lineRule="auto"/>
      </w:pPr>
      <w:r>
        <w:rPr>
          <w:rFonts w:ascii="inter" w:eastAsia="inter" w:hAnsi="inter" w:cs="inter"/>
          <w:color w:val="000000"/>
        </w:rPr>
        <w:lastRenderedPageBreak/>
        <w:t xml:space="preserve">Some states impose their own estate or inheritance taxes, separate from the federal system. Pennsylvania uses an </w:t>
      </w:r>
      <w:r>
        <w:rPr>
          <w:rFonts w:ascii="inter" w:eastAsia="inter" w:hAnsi="inter" w:cs="inter"/>
          <w:b/>
          <w:color w:val="000000"/>
        </w:rPr>
        <w:t>inheritance</w:t>
      </w:r>
      <w:r>
        <w:rPr>
          <w:rFonts w:ascii="inter" w:eastAsia="inter" w:hAnsi="inter" w:cs="inter"/>
          <w:color w:val="000000"/>
        </w:rPr>
        <w:t xml:space="preserve"> tax, which is technically a tax on the beneficiary’s right to receive property from a decedent.</w:t>
      </w:r>
      <w:bookmarkStart w:id="13" w:name="fnref8"/>
      <w:bookmarkEnd w:id="13"/>
      <w:r>
        <w:fldChar w:fldCharType="begin"/>
      </w:r>
      <w:r>
        <w:instrText>HYPERLINK \l "fn8" \h</w:instrText>
      </w:r>
      <w:r>
        <w:fldChar w:fldCharType="separate"/>
      </w:r>
      <w:r>
        <w:fldChar w:fldCharType="end"/>
      </w:r>
      <w:bookmarkStart w:id="14" w:name="fnref9"/>
      <w:bookmarkEnd w:id="14"/>
      <w:r>
        <w:fldChar w:fldCharType="begin"/>
      </w:r>
      <w:r>
        <w:instrText>HYPERLINK \l "fn9" \h</w:instrText>
      </w:r>
      <w:r>
        <w:fldChar w:fldCharType="separate"/>
      </w:r>
      <w:r>
        <w:fldChar w:fldCharType="end"/>
      </w:r>
      <w:bookmarkStart w:id="15" w:name="fnref1_4"/>
      <w:bookmarkEnd w:id="15"/>
      <w:r>
        <w:fldChar w:fldCharType="begin"/>
      </w:r>
      <w:r>
        <w:instrText>HYPERLINK \l "fn1" \h</w:instrText>
      </w:r>
      <w:r>
        <w:fldChar w:fldCharType="separate"/>
      </w:r>
      <w:r>
        <w:fldChar w:fldCharType="end"/>
      </w:r>
      <w:bookmarkStart w:id="16" w:name="fnref5_1"/>
      <w:bookmarkEnd w:id="16"/>
      <w:r>
        <w:fldChar w:fldCharType="begin"/>
      </w:r>
      <w:r>
        <w:instrText>HYPERLINK \l "fn5" \h</w:instrText>
      </w:r>
      <w:r>
        <w:fldChar w:fldCharType="separate"/>
      </w:r>
      <w:r>
        <w:fldChar w:fldCharType="end"/>
      </w:r>
    </w:p>
    <w:p w14:paraId="261D83FA" w14:textId="31F66D77" w:rsidR="00852A05" w:rsidRDefault="00000000">
      <w:pPr>
        <w:numPr>
          <w:ilvl w:val="0"/>
          <w:numId w:val="2"/>
        </w:numPr>
        <w:spacing w:before="105" w:after="105" w:line="360" w:lineRule="auto"/>
      </w:pPr>
      <w:r>
        <w:rPr>
          <w:rFonts w:ascii="inter" w:eastAsia="inter" w:hAnsi="inter" w:cs="inter"/>
          <w:color w:val="000000"/>
        </w:rPr>
        <w:t>Pennsylvania inheritance‑tax rates currently are:</w:t>
      </w:r>
      <w:bookmarkStart w:id="17" w:name="fnref2_1"/>
      <w:bookmarkEnd w:id="17"/>
      <w:r>
        <w:fldChar w:fldCharType="begin"/>
      </w:r>
      <w:r>
        <w:instrText>HYPERLINK \l "fn2" \h</w:instrText>
      </w:r>
      <w:r>
        <w:fldChar w:fldCharType="separate"/>
      </w:r>
      <w:r>
        <w:fldChar w:fldCharType="end"/>
      </w:r>
      <w:bookmarkStart w:id="18" w:name="fnref9_1"/>
      <w:bookmarkEnd w:id="18"/>
      <w:r>
        <w:fldChar w:fldCharType="begin"/>
      </w:r>
      <w:r>
        <w:instrText>HYPERLINK \l "fn9" \h</w:instrText>
      </w:r>
      <w:r>
        <w:fldChar w:fldCharType="separate"/>
      </w:r>
      <w:r>
        <w:fldChar w:fldCharType="end"/>
      </w:r>
    </w:p>
    <w:p w14:paraId="555CC411" w14:textId="77777777" w:rsidR="00852A05" w:rsidRDefault="00000000">
      <w:pPr>
        <w:numPr>
          <w:ilvl w:val="1"/>
          <w:numId w:val="2"/>
        </w:numPr>
        <w:spacing w:before="105" w:after="105" w:line="360" w:lineRule="auto"/>
      </w:pPr>
      <w:r>
        <w:rPr>
          <w:rFonts w:ascii="inter" w:eastAsia="inter" w:hAnsi="inter" w:cs="inter"/>
          <w:color w:val="000000"/>
        </w:rPr>
        <w:t>0% on transfers to a surviving spouse (and to a parent from a child age 21 or younger).</w:t>
      </w:r>
    </w:p>
    <w:p w14:paraId="62DAAD7F" w14:textId="77777777" w:rsidR="00852A05" w:rsidRDefault="00000000">
      <w:pPr>
        <w:numPr>
          <w:ilvl w:val="1"/>
          <w:numId w:val="2"/>
        </w:numPr>
        <w:spacing w:before="105" w:after="105" w:line="360" w:lineRule="auto"/>
      </w:pPr>
      <w:r>
        <w:rPr>
          <w:rFonts w:ascii="inter" w:eastAsia="inter" w:hAnsi="inter" w:cs="inter"/>
          <w:color w:val="000000"/>
        </w:rPr>
        <w:t>4.5% on transfers to direct descendants and lineal heirs (children, grandchildren, etc.).</w:t>
      </w:r>
    </w:p>
    <w:p w14:paraId="7A3EBB7F" w14:textId="77777777" w:rsidR="00852A05" w:rsidRDefault="00000000">
      <w:pPr>
        <w:numPr>
          <w:ilvl w:val="1"/>
          <w:numId w:val="2"/>
        </w:numPr>
        <w:spacing w:before="105" w:after="105" w:line="360" w:lineRule="auto"/>
      </w:pPr>
      <w:r>
        <w:rPr>
          <w:rFonts w:ascii="inter" w:eastAsia="inter" w:hAnsi="inter" w:cs="inter"/>
          <w:color w:val="000000"/>
        </w:rPr>
        <w:t>12% on transfers to siblings.</w:t>
      </w:r>
    </w:p>
    <w:p w14:paraId="53ABF996" w14:textId="77777777" w:rsidR="00852A05" w:rsidRDefault="00000000">
      <w:pPr>
        <w:numPr>
          <w:ilvl w:val="1"/>
          <w:numId w:val="2"/>
        </w:numPr>
        <w:spacing w:before="105" w:after="105" w:line="360" w:lineRule="auto"/>
      </w:pPr>
      <w:r>
        <w:rPr>
          <w:rFonts w:ascii="inter" w:eastAsia="inter" w:hAnsi="inter" w:cs="inter"/>
          <w:color w:val="000000"/>
        </w:rPr>
        <w:t>15% on transfers to all other non‑exempt heirs (for example, nieces, nephews, friends, most non‑charitable entities).</w:t>
      </w:r>
    </w:p>
    <w:p w14:paraId="0792D27A" w14:textId="55D241A0" w:rsidR="00852A05" w:rsidRDefault="00000000">
      <w:pPr>
        <w:numPr>
          <w:ilvl w:val="0"/>
          <w:numId w:val="2"/>
        </w:numPr>
        <w:spacing w:before="105" w:after="105" w:line="360" w:lineRule="auto"/>
      </w:pPr>
      <w:r>
        <w:rPr>
          <w:rFonts w:ascii="inter" w:eastAsia="inter" w:hAnsi="inter" w:cs="inter"/>
          <w:color w:val="000000"/>
        </w:rPr>
        <w:t>Property owned jointly between spouses with rights of survivorship is exempt from Pennsylvania inheritance tax at the first spouse’s death.</w:t>
      </w:r>
      <w:bookmarkStart w:id="19" w:name="fnref10"/>
      <w:bookmarkEnd w:id="19"/>
      <w:r>
        <w:fldChar w:fldCharType="begin"/>
      </w:r>
      <w:r>
        <w:instrText>HYPERLINK \l "fn10" \h</w:instrText>
      </w:r>
      <w:r>
        <w:fldChar w:fldCharType="separate"/>
      </w:r>
      <w:r>
        <w:fldChar w:fldCharType="end"/>
      </w:r>
      <w:bookmarkStart w:id="20" w:name="fnref9_2"/>
      <w:bookmarkEnd w:id="20"/>
      <w:r>
        <w:fldChar w:fldCharType="begin"/>
      </w:r>
      <w:r>
        <w:instrText>HYPERLINK \l "fn9" \h</w:instrText>
      </w:r>
      <w:r>
        <w:fldChar w:fldCharType="separate"/>
      </w:r>
      <w:r>
        <w:fldChar w:fldCharType="end"/>
      </w:r>
    </w:p>
    <w:p w14:paraId="26A143C6" w14:textId="5D2C746D" w:rsidR="00852A05" w:rsidRDefault="00000000">
      <w:pPr>
        <w:numPr>
          <w:ilvl w:val="0"/>
          <w:numId w:val="2"/>
        </w:numPr>
        <w:spacing w:before="105" w:after="105" w:line="360" w:lineRule="auto"/>
      </w:pPr>
      <w:r>
        <w:rPr>
          <w:rFonts w:ascii="inter" w:eastAsia="inter" w:hAnsi="inter" w:cs="inter"/>
          <w:color w:val="000000"/>
        </w:rPr>
        <w:t>Life‑insurance proceeds payable by reason of the insured’s death are generally exempt from Pennsylvania inheritance tax.</w:t>
      </w:r>
      <w:bookmarkStart w:id="21" w:name="fnref9_3"/>
      <w:bookmarkEnd w:id="21"/>
      <w:r>
        <w:fldChar w:fldCharType="begin"/>
      </w:r>
      <w:r>
        <w:instrText>HYPERLINK \l "fn9" \h</w:instrText>
      </w:r>
      <w:r>
        <w:fldChar w:fldCharType="separate"/>
      </w:r>
      <w:r>
        <w:fldChar w:fldCharType="end"/>
      </w:r>
    </w:p>
    <w:p w14:paraId="13B1D847" w14:textId="356945A1" w:rsidR="00852A05" w:rsidRDefault="00000000">
      <w:pPr>
        <w:spacing w:after="210" w:line="360" w:lineRule="auto"/>
      </w:pPr>
      <w:r>
        <w:rPr>
          <w:rFonts w:ascii="inter" w:eastAsia="inter" w:hAnsi="inter" w:cs="inter"/>
          <w:color w:val="000000"/>
        </w:rPr>
        <w:t xml:space="preserve">For Pennsylvania families, this means a child inheriting </w:t>
      </w:r>
      <w:r w:rsidR="00C43BF3">
        <w:rPr>
          <w:rFonts w:ascii="inter" w:eastAsia="inter" w:hAnsi="inter" w:cs="inter"/>
          <w:color w:val="000000"/>
        </w:rPr>
        <w:t>$</w:t>
      </w:r>
      <w:r>
        <w:rPr>
          <w:rFonts w:ascii="inter" w:eastAsia="inter" w:hAnsi="inter" w:cs="inter"/>
          <w:color w:val="000000"/>
        </w:rPr>
        <w:t xml:space="preserve">200,000 might owe </w:t>
      </w:r>
      <w:r w:rsidR="00C43BF3">
        <w:rPr>
          <w:rFonts w:ascii="inter" w:eastAsia="inter" w:hAnsi="inter" w:cs="inter"/>
          <w:color w:val="000000"/>
        </w:rPr>
        <w:t>$</w:t>
      </w:r>
      <w:r>
        <w:rPr>
          <w:rFonts w:ascii="inter" w:eastAsia="inter" w:hAnsi="inter" w:cs="inter"/>
          <w:color w:val="000000"/>
        </w:rPr>
        <w:t xml:space="preserve">9,000 of inheritance tax at 4.5%, while a sibling inheriting the same amount might owe </w:t>
      </w:r>
      <w:r w:rsidR="00C43BF3">
        <w:rPr>
          <w:rFonts w:ascii="inter" w:eastAsia="inter" w:hAnsi="inter" w:cs="inter"/>
          <w:color w:val="000000"/>
        </w:rPr>
        <w:t>$</w:t>
      </w:r>
      <w:r>
        <w:rPr>
          <w:rFonts w:ascii="inter" w:eastAsia="inter" w:hAnsi="inter" w:cs="inter"/>
          <w:color w:val="000000"/>
        </w:rPr>
        <w:t>24,000 at 12%. Proper planning can sometimes reduce these amounts by directing assets to lower‑taxed beneficiaries or exempt recipients such as charities.</w:t>
      </w:r>
      <w:bookmarkStart w:id="22" w:name="fnref8_1"/>
      <w:bookmarkEnd w:id="22"/>
      <w:r>
        <w:fldChar w:fldCharType="begin"/>
      </w:r>
      <w:r>
        <w:instrText>HYPERLINK \l "fn8" \h</w:instrText>
      </w:r>
      <w:r>
        <w:fldChar w:fldCharType="separate"/>
      </w:r>
      <w:r>
        <w:fldChar w:fldCharType="end"/>
      </w:r>
      <w:bookmarkStart w:id="23" w:name="fnref2_2"/>
      <w:bookmarkEnd w:id="23"/>
      <w:r>
        <w:fldChar w:fldCharType="begin"/>
      </w:r>
      <w:r>
        <w:instrText>HYPERLINK \l "fn2" \h</w:instrText>
      </w:r>
      <w:r>
        <w:fldChar w:fldCharType="separate"/>
      </w:r>
      <w:r>
        <w:fldChar w:fldCharType="end"/>
      </w:r>
      <w:bookmarkStart w:id="24" w:name="fnref9_4"/>
      <w:bookmarkEnd w:id="24"/>
      <w:r>
        <w:fldChar w:fldCharType="begin"/>
      </w:r>
      <w:r>
        <w:instrText>HYPERLINK \l "fn9" \h</w:instrText>
      </w:r>
      <w:r>
        <w:fldChar w:fldCharType="separate"/>
      </w:r>
      <w:r>
        <w:fldChar w:fldCharType="end"/>
      </w:r>
    </w:p>
    <w:p w14:paraId="28C2CB00" w14:textId="77777777" w:rsidR="00852A05" w:rsidRDefault="00000000">
      <w:pPr>
        <w:spacing w:before="315" w:after="105" w:line="360" w:lineRule="auto"/>
        <w:ind w:left="-30"/>
      </w:pPr>
      <w:bookmarkStart w:id="25" w:name="income_in_respect_of_a_decedent_ird"/>
      <w:r>
        <w:rPr>
          <w:rFonts w:ascii="inter" w:eastAsia="inter" w:hAnsi="inter" w:cs="inter"/>
          <w:b/>
          <w:color w:val="000000"/>
          <w:sz w:val="24"/>
        </w:rPr>
        <w:t>Income in respect of a decedent (IRD)</w:t>
      </w:r>
      <w:bookmarkEnd w:id="25"/>
    </w:p>
    <w:p w14:paraId="53F2831C" w14:textId="2E85DD1D" w:rsidR="00852A05" w:rsidRDefault="00000000">
      <w:pPr>
        <w:spacing w:after="210" w:line="360" w:lineRule="auto"/>
      </w:pPr>
      <w:r>
        <w:rPr>
          <w:rFonts w:ascii="inter" w:eastAsia="inter" w:hAnsi="inter" w:cs="inter"/>
          <w:color w:val="000000"/>
        </w:rPr>
        <w:t xml:space="preserve">Separate from estate or inheritance taxes, there is ongoing </w:t>
      </w:r>
      <w:r>
        <w:rPr>
          <w:rFonts w:ascii="inter" w:eastAsia="inter" w:hAnsi="inter" w:cs="inter"/>
          <w:b/>
          <w:color w:val="000000"/>
        </w:rPr>
        <w:t>income</w:t>
      </w:r>
      <w:r>
        <w:rPr>
          <w:rFonts w:ascii="inter" w:eastAsia="inter" w:hAnsi="inter" w:cs="inter"/>
          <w:color w:val="000000"/>
        </w:rPr>
        <w:t xml:space="preserve"> tax on certain assets that have never been taxed during the decedent’s lifetime. That category is called “income in respect of a decedent” (IRD).</w:t>
      </w:r>
      <w:bookmarkStart w:id="26" w:name="fnref11"/>
      <w:bookmarkEnd w:id="26"/>
      <w:r>
        <w:fldChar w:fldCharType="begin"/>
      </w:r>
      <w:r>
        <w:instrText>HYPERLINK \l "fn11" \h</w:instrText>
      </w:r>
      <w:r>
        <w:fldChar w:fldCharType="separate"/>
      </w:r>
      <w:r>
        <w:fldChar w:fldCharType="end"/>
      </w:r>
      <w:bookmarkStart w:id="27" w:name="fnref12"/>
      <w:bookmarkEnd w:id="27"/>
      <w:r>
        <w:fldChar w:fldCharType="begin"/>
      </w:r>
      <w:r>
        <w:instrText>HYPERLINK \l "fn12" \h</w:instrText>
      </w:r>
      <w:r>
        <w:fldChar w:fldCharType="separate"/>
      </w:r>
      <w:r>
        <w:fldChar w:fldCharType="end"/>
      </w:r>
    </w:p>
    <w:p w14:paraId="199CA749" w14:textId="3024F872" w:rsidR="00852A05" w:rsidRDefault="00000000">
      <w:pPr>
        <w:numPr>
          <w:ilvl w:val="0"/>
          <w:numId w:val="3"/>
        </w:numPr>
        <w:spacing w:before="105" w:after="105" w:line="360" w:lineRule="auto"/>
      </w:pPr>
      <w:r>
        <w:rPr>
          <w:rFonts w:ascii="inter" w:eastAsia="inter" w:hAnsi="inter" w:cs="inter"/>
          <w:color w:val="000000"/>
        </w:rPr>
        <w:t>IRD is income the decedent had a right to receive before death, but that was not yet actually paid or included in income.</w:t>
      </w:r>
      <w:bookmarkStart w:id="28" w:name="fnref11_1"/>
      <w:bookmarkEnd w:id="28"/>
      <w:r>
        <w:fldChar w:fldCharType="begin"/>
      </w:r>
      <w:r>
        <w:instrText>HYPERLINK \l "fn11" \h</w:instrText>
      </w:r>
      <w:r>
        <w:fldChar w:fldCharType="separate"/>
      </w:r>
      <w:r>
        <w:fldChar w:fldCharType="end"/>
      </w:r>
    </w:p>
    <w:p w14:paraId="29CA5464" w14:textId="1E517020" w:rsidR="00852A05" w:rsidRDefault="00000000">
      <w:pPr>
        <w:numPr>
          <w:ilvl w:val="0"/>
          <w:numId w:val="3"/>
        </w:numPr>
        <w:spacing w:before="105" w:after="105" w:line="360" w:lineRule="auto"/>
      </w:pPr>
      <w:r>
        <w:rPr>
          <w:rFonts w:ascii="inter" w:eastAsia="inter" w:hAnsi="inter" w:cs="inter"/>
          <w:color w:val="000000"/>
        </w:rPr>
        <w:t>Common IRD examples include:</w:t>
      </w:r>
      <w:bookmarkStart w:id="29" w:name="fnref13"/>
      <w:bookmarkEnd w:id="29"/>
      <w:r>
        <w:fldChar w:fldCharType="begin"/>
      </w:r>
      <w:r>
        <w:instrText>HYPERLINK \l "fn13" \h</w:instrText>
      </w:r>
      <w:r>
        <w:fldChar w:fldCharType="separate"/>
      </w:r>
      <w:r>
        <w:fldChar w:fldCharType="end"/>
      </w:r>
      <w:bookmarkStart w:id="30" w:name="fnref11_2"/>
      <w:bookmarkEnd w:id="30"/>
      <w:r>
        <w:fldChar w:fldCharType="begin"/>
      </w:r>
      <w:r>
        <w:instrText>HYPERLINK \l "fn11" \h</w:instrText>
      </w:r>
      <w:r>
        <w:fldChar w:fldCharType="separate"/>
      </w:r>
      <w:r>
        <w:fldChar w:fldCharType="end"/>
      </w:r>
    </w:p>
    <w:p w14:paraId="521454FF" w14:textId="77777777" w:rsidR="00852A05" w:rsidRDefault="00000000">
      <w:pPr>
        <w:numPr>
          <w:ilvl w:val="1"/>
          <w:numId w:val="3"/>
        </w:numPr>
        <w:spacing w:before="105" w:after="105" w:line="360" w:lineRule="auto"/>
      </w:pPr>
      <w:r>
        <w:rPr>
          <w:rFonts w:ascii="inter" w:eastAsia="inter" w:hAnsi="inter" w:cs="inter"/>
          <w:color w:val="000000"/>
        </w:rPr>
        <w:t>Traditional IRAs and 401(k)s (pre‑tax balances).</w:t>
      </w:r>
    </w:p>
    <w:p w14:paraId="710D9E37" w14:textId="77777777" w:rsidR="00852A05" w:rsidRDefault="00000000">
      <w:pPr>
        <w:numPr>
          <w:ilvl w:val="1"/>
          <w:numId w:val="3"/>
        </w:numPr>
        <w:spacing w:before="105" w:after="105" w:line="360" w:lineRule="auto"/>
      </w:pPr>
      <w:r>
        <w:rPr>
          <w:rFonts w:ascii="inter" w:eastAsia="inter" w:hAnsi="inter" w:cs="inter"/>
          <w:color w:val="000000"/>
        </w:rPr>
        <w:t>Unpaid wages, bonuses, or fees.</w:t>
      </w:r>
    </w:p>
    <w:p w14:paraId="327B8D2E" w14:textId="77777777" w:rsidR="00852A05" w:rsidRDefault="00000000">
      <w:pPr>
        <w:numPr>
          <w:ilvl w:val="1"/>
          <w:numId w:val="3"/>
        </w:numPr>
        <w:spacing w:before="105" w:after="105" w:line="360" w:lineRule="auto"/>
      </w:pPr>
      <w:r>
        <w:rPr>
          <w:rFonts w:ascii="inter" w:eastAsia="inter" w:hAnsi="inter" w:cs="inter"/>
          <w:color w:val="000000"/>
        </w:rPr>
        <w:t>Unpaid interest, dividends, and installment sale payments accrued before death.</w:t>
      </w:r>
    </w:p>
    <w:p w14:paraId="48E3F873" w14:textId="03983C6E" w:rsidR="00852A05" w:rsidRDefault="00000000">
      <w:pPr>
        <w:numPr>
          <w:ilvl w:val="0"/>
          <w:numId w:val="3"/>
        </w:numPr>
        <w:spacing w:before="105" w:after="105" w:line="360" w:lineRule="auto"/>
      </w:pPr>
      <w:r>
        <w:rPr>
          <w:rFonts w:ascii="inter" w:eastAsia="inter" w:hAnsi="inter" w:cs="inter"/>
          <w:color w:val="000000"/>
        </w:rPr>
        <w:t>Beneficiaries who receive IRD, such as inherited traditional IRA withdrawals, must generally include it as ordinary income on their own income‑tax returns when received.</w:t>
      </w:r>
      <w:bookmarkStart w:id="31" w:name="fnref11_3"/>
      <w:bookmarkEnd w:id="31"/>
      <w:r>
        <w:fldChar w:fldCharType="begin"/>
      </w:r>
      <w:r>
        <w:instrText>HYPERLINK \l "fn11" \h</w:instrText>
      </w:r>
      <w:r>
        <w:fldChar w:fldCharType="separate"/>
      </w:r>
      <w:r>
        <w:fldChar w:fldCharType="end"/>
      </w:r>
    </w:p>
    <w:p w14:paraId="6CBF2C57" w14:textId="6BB009BC" w:rsidR="00852A05" w:rsidRDefault="00000000">
      <w:pPr>
        <w:spacing w:after="210" w:line="360" w:lineRule="auto"/>
      </w:pPr>
      <w:r>
        <w:rPr>
          <w:rFonts w:ascii="inter" w:eastAsia="inter" w:hAnsi="inter" w:cs="inter"/>
          <w:color w:val="000000"/>
        </w:rPr>
        <w:lastRenderedPageBreak/>
        <w:t xml:space="preserve">A key point for planning is that IRD does </w:t>
      </w:r>
      <w:r>
        <w:rPr>
          <w:rFonts w:ascii="inter" w:eastAsia="inter" w:hAnsi="inter" w:cs="inter"/>
          <w:b/>
          <w:color w:val="000000"/>
        </w:rPr>
        <w:t>not</w:t>
      </w:r>
      <w:r>
        <w:rPr>
          <w:rFonts w:ascii="inter" w:eastAsia="inter" w:hAnsi="inter" w:cs="inter"/>
          <w:color w:val="000000"/>
        </w:rPr>
        <w:t xml:space="preserve"> receive a full step up in basis at death, which is why inherited retirement accounts can still generate significant income tax for children or other beneficiaries.</w:t>
      </w:r>
      <w:bookmarkStart w:id="32" w:name="fnref13_1"/>
      <w:bookmarkEnd w:id="32"/>
      <w:r>
        <w:fldChar w:fldCharType="begin"/>
      </w:r>
      <w:r>
        <w:instrText>HYPERLINK \l "fn13" \h</w:instrText>
      </w:r>
      <w:r>
        <w:fldChar w:fldCharType="separate"/>
      </w:r>
      <w:r>
        <w:fldChar w:fldCharType="end"/>
      </w:r>
      <w:bookmarkStart w:id="33" w:name="fnref11_4"/>
      <w:bookmarkEnd w:id="33"/>
      <w:r>
        <w:fldChar w:fldCharType="begin"/>
      </w:r>
      <w:r>
        <w:instrText>HYPERLINK \l "fn11" \h</w:instrText>
      </w:r>
      <w:r>
        <w:fldChar w:fldCharType="separate"/>
      </w:r>
      <w:r>
        <w:fldChar w:fldCharType="end"/>
      </w:r>
    </w:p>
    <w:p w14:paraId="7D14FA44" w14:textId="77777777" w:rsidR="00852A05" w:rsidRDefault="00000000">
      <w:pPr>
        <w:spacing w:before="315" w:after="105" w:line="360" w:lineRule="auto"/>
        <w:ind w:left="-30"/>
      </w:pPr>
      <w:bookmarkStart w:id="34" w:name="capital_gains_and_step_up_in_basis"/>
      <w:r>
        <w:rPr>
          <w:rFonts w:ascii="inter" w:eastAsia="inter" w:hAnsi="inter" w:cs="inter"/>
          <w:b/>
          <w:color w:val="000000"/>
          <w:sz w:val="24"/>
        </w:rPr>
        <w:t>Capital gains and step‑up in basis</w:t>
      </w:r>
      <w:bookmarkEnd w:id="34"/>
    </w:p>
    <w:p w14:paraId="28D1FBDD" w14:textId="33141775" w:rsidR="00852A05" w:rsidRDefault="00000000">
      <w:pPr>
        <w:spacing w:after="210" w:line="360" w:lineRule="auto"/>
      </w:pPr>
      <w:r>
        <w:rPr>
          <w:rFonts w:ascii="inter" w:eastAsia="inter" w:hAnsi="inter" w:cs="inter"/>
          <w:color w:val="000000"/>
        </w:rPr>
        <w:t xml:space="preserve">For taxable investment accounts and many other assets, the main concern is </w:t>
      </w:r>
      <w:r>
        <w:rPr>
          <w:rFonts w:ascii="inter" w:eastAsia="inter" w:hAnsi="inter" w:cs="inter"/>
          <w:b/>
          <w:color w:val="000000"/>
        </w:rPr>
        <w:t>capital gains</w:t>
      </w:r>
      <w:r>
        <w:rPr>
          <w:rFonts w:ascii="inter" w:eastAsia="inter" w:hAnsi="inter" w:cs="inter"/>
          <w:color w:val="000000"/>
        </w:rPr>
        <w:t xml:space="preserve"> tax when an asset is sold for more than its “basis” (essentially, its </w:t>
      </w:r>
      <w:proofErr w:type="gramStart"/>
      <w:r>
        <w:rPr>
          <w:rFonts w:ascii="inter" w:eastAsia="inter" w:hAnsi="inter" w:cs="inter"/>
          <w:color w:val="000000"/>
        </w:rPr>
        <w:t>cost plus</w:t>
      </w:r>
      <w:proofErr w:type="gramEnd"/>
      <w:r>
        <w:rPr>
          <w:rFonts w:ascii="inter" w:eastAsia="inter" w:hAnsi="inter" w:cs="inter"/>
          <w:color w:val="000000"/>
        </w:rPr>
        <w:t xml:space="preserve"> certain adjustments). When someone dies owning appreciated property, the </w:t>
      </w:r>
      <w:proofErr w:type="spellStart"/>
      <w:r>
        <w:rPr>
          <w:rFonts w:ascii="inter" w:eastAsia="inter" w:hAnsi="inter" w:cs="inter"/>
          <w:color w:val="000000"/>
        </w:rPr>
        <w:t>basis</w:t>
      </w:r>
      <w:proofErr w:type="spellEnd"/>
      <w:r>
        <w:rPr>
          <w:rFonts w:ascii="inter" w:eastAsia="inter" w:hAnsi="inter" w:cs="inter"/>
          <w:color w:val="000000"/>
        </w:rPr>
        <w:t xml:space="preserve"> rules often become very favorable for heirs.</w:t>
      </w:r>
      <w:bookmarkStart w:id="35" w:name="fnref12_1"/>
      <w:bookmarkEnd w:id="35"/>
      <w:r>
        <w:fldChar w:fldCharType="begin"/>
      </w:r>
      <w:r>
        <w:instrText>HYPERLINK \l "fn12" \h</w:instrText>
      </w:r>
      <w:r>
        <w:fldChar w:fldCharType="separate"/>
      </w:r>
      <w:r>
        <w:fldChar w:fldCharType="end"/>
      </w:r>
      <w:bookmarkStart w:id="36" w:name="fnref14"/>
      <w:bookmarkEnd w:id="36"/>
      <w:r>
        <w:fldChar w:fldCharType="begin"/>
      </w:r>
      <w:r>
        <w:instrText>HYPERLINK \l "fn14" \h</w:instrText>
      </w:r>
      <w:r>
        <w:fldChar w:fldCharType="separate"/>
      </w:r>
      <w:r>
        <w:fldChar w:fldCharType="end"/>
      </w:r>
    </w:p>
    <w:p w14:paraId="1AB81C30" w14:textId="5D1B43D4" w:rsidR="00852A05" w:rsidRDefault="00000000">
      <w:pPr>
        <w:numPr>
          <w:ilvl w:val="0"/>
          <w:numId w:val="4"/>
        </w:numPr>
        <w:spacing w:before="105" w:after="105" w:line="360" w:lineRule="auto"/>
      </w:pPr>
      <w:r>
        <w:rPr>
          <w:rFonts w:ascii="inter" w:eastAsia="inter" w:hAnsi="inter" w:cs="inter"/>
          <w:color w:val="000000"/>
        </w:rPr>
        <w:t>Under Internal Revenue Code Section 1014, most assets included in a decedent’s estate receive a new basis equal to their fair market value at the date of death (or alternate valuation date, if properly elected).</w:t>
      </w:r>
      <w:bookmarkStart w:id="37" w:name="fnref14_1"/>
      <w:bookmarkEnd w:id="37"/>
      <w:r>
        <w:fldChar w:fldCharType="begin"/>
      </w:r>
      <w:r>
        <w:instrText>HYPERLINK \l "fn14" \h</w:instrText>
      </w:r>
      <w:r>
        <w:fldChar w:fldCharType="separate"/>
      </w:r>
      <w:r>
        <w:fldChar w:fldCharType="end"/>
      </w:r>
      <w:bookmarkStart w:id="38" w:name="fnref13_2"/>
      <w:bookmarkEnd w:id="38"/>
      <w:r>
        <w:fldChar w:fldCharType="begin"/>
      </w:r>
      <w:r>
        <w:instrText>HYPERLINK \l "fn13" \h</w:instrText>
      </w:r>
      <w:r>
        <w:fldChar w:fldCharType="separate"/>
      </w:r>
      <w:r>
        <w:fldChar w:fldCharType="end"/>
      </w:r>
    </w:p>
    <w:p w14:paraId="241E1B2E" w14:textId="4E5F90E5" w:rsidR="00852A05" w:rsidRDefault="00000000">
      <w:pPr>
        <w:numPr>
          <w:ilvl w:val="0"/>
          <w:numId w:val="4"/>
        </w:numPr>
        <w:spacing w:before="105" w:after="105" w:line="360" w:lineRule="auto"/>
      </w:pPr>
      <w:r>
        <w:rPr>
          <w:rFonts w:ascii="inter" w:eastAsia="inter" w:hAnsi="inter" w:cs="inter"/>
          <w:color w:val="000000"/>
        </w:rPr>
        <w:t>This “step‑up in basis” effectively wipes out the unrealized capital gain that accrued during the decedent’s lifetime for income‑tax purposes.</w:t>
      </w:r>
      <w:bookmarkStart w:id="39" w:name="fnref12_2"/>
      <w:bookmarkEnd w:id="39"/>
      <w:r>
        <w:fldChar w:fldCharType="begin"/>
      </w:r>
      <w:r>
        <w:instrText>HYPERLINK \l "fn12" \h</w:instrText>
      </w:r>
      <w:r>
        <w:fldChar w:fldCharType="separate"/>
      </w:r>
      <w:r>
        <w:fldChar w:fldCharType="end"/>
      </w:r>
      <w:bookmarkStart w:id="40" w:name="fnref13_3"/>
      <w:bookmarkEnd w:id="40"/>
      <w:r>
        <w:fldChar w:fldCharType="begin"/>
      </w:r>
      <w:r>
        <w:instrText>HYPERLINK \l "fn13" \h</w:instrText>
      </w:r>
      <w:r>
        <w:fldChar w:fldCharType="separate"/>
      </w:r>
      <w:r>
        <w:fldChar w:fldCharType="end"/>
      </w:r>
    </w:p>
    <w:p w14:paraId="320580F7" w14:textId="7A06159F" w:rsidR="00852A05" w:rsidRDefault="00000000">
      <w:pPr>
        <w:numPr>
          <w:ilvl w:val="0"/>
          <w:numId w:val="4"/>
        </w:numPr>
        <w:spacing w:before="105" w:after="105" w:line="360" w:lineRule="auto"/>
      </w:pPr>
      <w:r>
        <w:rPr>
          <w:rFonts w:ascii="inter" w:eastAsia="inter" w:hAnsi="inter" w:cs="inter"/>
          <w:color w:val="000000"/>
        </w:rPr>
        <w:t>After death, if an heir sells the inherited asset for approximately its date‑of‑death value, there may be little or no capital‑gains tax owed.</w:t>
      </w:r>
      <w:bookmarkStart w:id="41" w:name="fnref14_2"/>
      <w:bookmarkEnd w:id="41"/>
      <w:r>
        <w:fldChar w:fldCharType="begin"/>
      </w:r>
      <w:r>
        <w:instrText>HYPERLINK \l "fn14" \h</w:instrText>
      </w:r>
      <w:r>
        <w:fldChar w:fldCharType="separate"/>
      </w:r>
      <w:r>
        <w:fldChar w:fldCharType="end"/>
      </w:r>
      <w:bookmarkStart w:id="42" w:name="fnref13_4"/>
      <w:bookmarkEnd w:id="42"/>
      <w:r>
        <w:fldChar w:fldCharType="begin"/>
      </w:r>
      <w:r>
        <w:instrText>HYPERLINK \l "fn13" \h</w:instrText>
      </w:r>
      <w:r>
        <w:fldChar w:fldCharType="separate"/>
      </w:r>
      <w:r>
        <w:fldChar w:fldCharType="end"/>
      </w:r>
    </w:p>
    <w:p w14:paraId="183141A0" w14:textId="77777777" w:rsidR="00852A05" w:rsidRDefault="00000000">
      <w:pPr>
        <w:spacing w:before="315" w:after="105" w:line="360" w:lineRule="auto"/>
        <w:ind w:left="-30"/>
      </w:pPr>
      <w:bookmarkStart w:id="43" w:name="why_step_up_in_basis_matters"/>
      <w:r>
        <w:rPr>
          <w:rFonts w:ascii="inter" w:eastAsia="inter" w:hAnsi="inter" w:cs="inter"/>
          <w:b/>
          <w:color w:val="000000"/>
          <w:sz w:val="24"/>
        </w:rPr>
        <w:t>Why step‑up in basis matters</w:t>
      </w:r>
      <w:bookmarkEnd w:id="43"/>
    </w:p>
    <w:p w14:paraId="34AF4BF3" w14:textId="5B3ED57C" w:rsidR="00852A05" w:rsidRDefault="00000000">
      <w:pPr>
        <w:spacing w:after="210" w:line="360" w:lineRule="auto"/>
      </w:pPr>
      <w:r>
        <w:rPr>
          <w:rFonts w:ascii="inter" w:eastAsia="inter" w:hAnsi="inter" w:cs="inter"/>
          <w:color w:val="000000"/>
        </w:rPr>
        <w:t xml:space="preserve">Step‑up in basis is often one of the most </w:t>
      </w:r>
      <w:r>
        <w:rPr>
          <w:rFonts w:ascii="inter" w:eastAsia="inter" w:hAnsi="inter" w:cs="inter"/>
          <w:b/>
          <w:color w:val="000000"/>
        </w:rPr>
        <w:t>powerful</w:t>
      </w:r>
      <w:r>
        <w:rPr>
          <w:rFonts w:ascii="inter" w:eastAsia="inter" w:hAnsi="inter" w:cs="inter"/>
          <w:color w:val="000000"/>
        </w:rPr>
        <w:t xml:space="preserve"> tax benefits in estate planning because it can eliminate decades of built‑in capital gains.</w:t>
      </w:r>
      <w:bookmarkStart w:id="44" w:name="fnref15"/>
      <w:bookmarkEnd w:id="44"/>
      <w:r>
        <w:fldChar w:fldCharType="begin"/>
      </w:r>
      <w:r>
        <w:instrText>HYPERLINK \l "fn15" \h</w:instrText>
      </w:r>
      <w:r>
        <w:fldChar w:fldCharType="separate"/>
      </w:r>
      <w:r>
        <w:fldChar w:fldCharType="end"/>
      </w:r>
      <w:bookmarkStart w:id="45" w:name="fnref14_3"/>
      <w:bookmarkEnd w:id="45"/>
      <w:r>
        <w:fldChar w:fldCharType="begin"/>
      </w:r>
      <w:r>
        <w:instrText>HYPERLINK \l "fn14" \h</w:instrText>
      </w:r>
      <w:r>
        <w:fldChar w:fldCharType="separate"/>
      </w:r>
      <w:r>
        <w:fldChar w:fldCharType="end"/>
      </w:r>
    </w:p>
    <w:p w14:paraId="4401854A" w14:textId="0EDE3D70" w:rsidR="00852A05" w:rsidRDefault="00000000">
      <w:pPr>
        <w:numPr>
          <w:ilvl w:val="0"/>
          <w:numId w:val="5"/>
        </w:numPr>
        <w:spacing w:before="105" w:after="105" w:line="360" w:lineRule="auto"/>
      </w:pPr>
      <w:r>
        <w:rPr>
          <w:rFonts w:ascii="inter" w:eastAsia="inter" w:hAnsi="inter" w:cs="inter"/>
          <w:color w:val="000000"/>
        </w:rPr>
        <w:t xml:space="preserve">Example: A parent bought stock for </w:t>
      </w:r>
      <w:r w:rsidR="00C43BF3">
        <w:rPr>
          <w:rFonts w:ascii="inter" w:eastAsia="inter" w:hAnsi="inter" w:cs="inter"/>
          <w:color w:val="000000"/>
        </w:rPr>
        <w:t>$</w:t>
      </w:r>
      <w:r>
        <w:rPr>
          <w:rFonts w:ascii="inter" w:eastAsia="inter" w:hAnsi="inter" w:cs="inter"/>
          <w:color w:val="000000"/>
        </w:rPr>
        <w:t xml:space="preserve">50,000 that is worth </w:t>
      </w:r>
      <w:r w:rsidR="00C43BF3">
        <w:rPr>
          <w:rFonts w:ascii="inter" w:eastAsia="inter" w:hAnsi="inter" w:cs="inter"/>
          <w:color w:val="000000"/>
        </w:rPr>
        <w:t>$</w:t>
      </w:r>
      <w:r>
        <w:rPr>
          <w:rFonts w:ascii="inter" w:eastAsia="inter" w:hAnsi="inter" w:cs="inter"/>
          <w:color w:val="000000"/>
        </w:rPr>
        <w:t xml:space="preserve">250,000 at death. The basis steps up to </w:t>
      </w:r>
      <w:r w:rsidR="00C43BF3">
        <w:rPr>
          <w:rFonts w:ascii="inter" w:eastAsia="inter" w:hAnsi="inter" w:cs="inter"/>
          <w:color w:val="000000"/>
        </w:rPr>
        <w:t>$</w:t>
      </w:r>
      <w:r>
        <w:rPr>
          <w:rFonts w:ascii="inter" w:eastAsia="inter" w:hAnsi="inter" w:cs="inter"/>
          <w:color w:val="000000"/>
        </w:rPr>
        <w:t xml:space="preserve">250,000 for the child. If the child sells soon after death for </w:t>
      </w:r>
      <w:r w:rsidR="00C43BF3">
        <w:rPr>
          <w:rFonts w:ascii="inter" w:eastAsia="inter" w:hAnsi="inter" w:cs="inter"/>
          <w:color w:val="000000"/>
        </w:rPr>
        <w:t>$</w:t>
      </w:r>
      <w:r>
        <w:rPr>
          <w:rFonts w:ascii="inter" w:eastAsia="inter" w:hAnsi="inter" w:cs="inter"/>
          <w:color w:val="000000"/>
        </w:rPr>
        <w:t xml:space="preserve">250,000, there is no capital‑gains tax on that </w:t>
      </w:r>
      <w:r w:rsidR="00C43BF3">
        <w:rPr>
          <w:rFonts w:ascii="inter" w:eastAsia="inter" w:hAnsi="inter" w:cs="inter"/>
          <w:color w:val="000000"/>
        </w:rPr>
        <w:t>$</w:t>
      </w:r>
      <w:r>
        <w:rPr>
          <w:rFonts w:ascii="inter" w:eastAsia="inter" w:hAnsi="inter" w:cs="inter"/>
          <w:color w:val="000000"/>
        </w:rPr>
        <w:t>200,000 lifetime appreciation.</w:t>
      </w:r>
      <w:bookmarkStart w:id="46" w:name="fnref13_5"/>
      <w:bookmarkEnd w:id="46"/>
      <w:r>
        <w:fldChar w:fldCharType="begin"/>
      </w:r>
      <w:r>
        <w:instrText>HYPERLINK \l "fn13" \h</w:instrText>
      </w:r>
      <w:r>
        <w:fldChar w:fldCharType="separate"/>
      </w:r>
      <w:r>
        <w:fldChar w:fldCharType="end"/>
      </w:r>
      <w:bookmarkStart w:id="47" w:name="fnref12_3"/>
      <w:bookmarkEnd w:id="47"/>
      <w:r>
        <w:fldChar w:fldCharType="begin"/>
      </w:r>
      <w:r>
        <w:instrText>HYPERLINK \l "fn12" \h</w:instrText>
      </w:r>
      <w:r>
        <w:fldChar w:fldCharType="separate"/>
      </w:r>
      <w:r>
        <w:fldChar w:fldCharType="end"/>
      </w:r>
    </w:p>
    <w:p w14:paraId="096343D3" w14:textId="6509A69D" w:rsidR="00852A05" w:rsidRDefault="00000000">
      <w:pPr>
        <w:numPr>
          <w:ilvl w:val="0"/>
          <w:numId w:val="5"/>
        </w:numPr>
        <w:spacing w:before="105" w:after="105" w:line="360" w:lineRule="auto"/>
      </w:pPr>
      <w:r>
        <w:rPr>
          <w:rFonts w:ascii="inter" w:eastAsia="inter" w:hAnsi="inter" w:cs="inter"/>
          <w:color w:val="000000"/>
        </w:rPr>
        <w:t>Similar treatment can apply to real estate, brokerage accounts, and other capital assets held at death, assuming they are not IRD and are properly included in the taxable estate.</w:t>
      </w:r>
      <w:bookmarkStart w:id="48" w:name="fnref14_4"/>
      <w:bookmarkEnd w:id="48"/>
      <w:r>
        <w:fldChar w:fldCharType="begin"/>
      </w:r>
      <w:r>
        <w:instrText>HYPERLINK \l "fn14" \h</w:instrText>
      </w:r>
      <w:r>
        <w:fldChar w:fldCharType="separate"/>
      </w:r>
      <w:r>
        <w:fldChar w:fldCharType="end"/>
      </w:r>
      <w:bookmarkStart w:id="49" w:name="fnref13_6"/>
      <w:bookmarkEnd w:id="49"/>
      <w:r>
        <w:fldChar w:fldCharType="begin"/>
      </w:r>
      <w:r>
        <w:instrText>HYPERLINK \l "fn13" \h</w:instrText>
      </w:r>
      <w:r>
        <w:fldChar w:fldCharType="separate"/>
      </w:r>
      <w:r>
        <w:fldChar w:fldCharType="end"/>
      </w:r>
    </w:p>
    <w:p w14:paraId="402DA442" w14:textId="52BA88F9" w:rsidR="00852A05" w:rsidRDefault="00000000">
      <w:pPr>
        <w:spacing w:after="210" w:line="360" w:lineRule="auto"/>
      </w:pPr>
      <w:r>
        <w:rPr>
          <w:rFonts w:ascii="inter" w:eastAsia="inter" w:hAnsi="inter" w:cs="inter"/>
          <w:color w:val="000000"/>
        </w:rPr>
        <w:t>By contrast, if the same stock were given during life, the donee generally takes a “carryover basis,” keeping the original 50,000‑dollar basis and potentially paying capital‑gains tax on the 200,000‑dollar gain when sold. This is why deciding whether to gift or hold appreciated assets until death can have major income‑tax implications.</w:t>
      </w:r>
      <w:bookmarkStart w:id="50" w:name="fnref15_1"/>
      <w:bookmarkEnd w:id="50"/>
      <w:r>
        <w:fldChar w:fldCharType="begin"/>
      </w:r>
      <w:r>
        <w:instrText>HYPERLINK \l "fn15" \h</w:instrText>
      </w:r>
      <w:r>
        <w:fldChar w:fldCharType="separate"/>
      </w:r>
      <w:r>
        <w:fldChar w:fldCharType="end"/>
      </w:r>
      <w:bookmarkStart w:id="51" w:name="fnref12_4"/>
      <w:bookmarkEnd w:id="51"/>
      <w:r>
        <w:fldChar w:fldCharType="begin"/>
      </w:r>
      <w:r>
        <w:instrText>HYPERLINK \l "fn12" \h</w:instrText>
      </w:r>
      <w:r>
        <w:fldChar w:fldCharType="separate"/>
      </w:r>
      <w:r>
        <w:fldChar w:fldCharType="end"/>
      </w:r>
      <w:bookmarkStart w:id="52" w:name="fnref14_5"/>
      <w:bookmarkEnd w:id="52"/>
      <w:r>
        <w:fldChar w:fldCharType="begin"/>
      </w:r>
      <w:r>
        <w:instrText>HYPERLINK \l "fn14" \h</w:instrText>
      </w:r>
      <w:r>
        <w:fldChar w:fldCharType="separate"/>
      </w:r>
      <w:r>
        <w:fldChar w:fldCharType="end"/>
      </w:r>
    </w:p>
    <w:p w14:paraId="32035111" w14:textId="77777777" w:rsidR="00852A05" w:rsidRDefault="00000000">
      <w:pPr>
        <w:spacing w:before="315" w:after="105" w:line="360" w:lineRule="auto"/>
        <w:ind w:left="-30"/>
      </w:pPr>
      <w:bookmarkStart w:id="53" w:name="limits_and_exceptions"/>
      <w:r>
        <w:rPr>
          <w:rFonts w:ascii="inter" w:eastAsia="inter" w:hAnsi="inter" w:cs="inter"/>
          <w:b/>
          <w:color w:val="000000"/>
          <w:sz w:val="24"/>
        </w:rPr>
        <w:t>Limits and exceptions</w:t>
      </w:r>
      <w:bookmarkEnd w:id="53"/>
    </w:p>
    <w:p w14:paraId="4449D1E4" w14:textId="50B7B7D4" w:rsidR="00852A05" w:rsidRDefault="00000000">
      <w:pPr>
        <w:spacing w:after="210" w:line="360" w:lineRule="auto"/>
      </w:pPr>
      <w:r>
        <w:rPr>
          <w:rFonts w:ascii="inter" w:eastAsia="inter" w:hAnsi="inter" w:cs="inter"/>
          <w:color w:val="000000"/>
        </w:rPr>
        <w:t>Not all assets qualify for a step‑up in basis, and this is where careful coordination with IRD is critical.</w:t>
      </w:r>
      <w:bookmarkStart w:id="54" w:name="fnref13_7"/>
      <w:bookmarkEnd w:id="54"/>
      <w:r>
        <w:fldChar w:fldCharType="begin"/>
      </w:r>
      <w:r>
        <w:instrText>HYPERLINK \l "fn13" \h</w:instrText>
      </w:r>
      <w:r>
        <w:fldChar w:fldCharType="separate"/>
      </w:r>
      <w:r>
        <w:fldChar w:fldCharType="end"/>
      </w:r>
      <w:bookmarkStart w:id="55" w:name="fnref11_5"/>
      <w:bookmarkEnd w:id="55"/>
      <w:r>
        <w:fldChar w:fldCharType="begin"/>
      </w:r>
      <w:r>
        <w:instrText>HYPERLINK \l "fn11" \h</w:instrText>
      </w:r>
      <w:r>
        <w:fldChar w:fldCharType="separate"/>
      </w:r>
      <w:r>
        <w:fldChar w:fldCharType="end"/>
      </w:r>
    </w:p>
    <w:p w14:paraId="5F05F410" w14:textId="6223485A" w:rsidR="00852A05" w:rsidRDefault="00000000">
      <w:pPr>
        <w:numPr>
          <w:ilvl w:val="0"/>
          <w:numId w:val="6"/>
        </w:numPr>
        <w:spacing w:before="105" w:after="105" w:line="360" w:lineRule="auto"/>
      </w:pPr>
      <w:r>
        <w:rPr>
          <w:rFonts w:ascii="inter" w:eastAsia="inter" w:hAnsi="inter" w:cs="inter"/>
          <w:color w:val="000000"/>
        </w:rPr>
        <w:lastRenderedPageBreak/>
        <w:t xml:space="preserve">IRD assets, such as traditional IRAs and many deferred‑compensation items, generally do </w:t>
      </w:r>
      <w:r>
        <w:rPr>
          <w:rFonts w:ascii="inter" w:eastAsia="inter" w:hAnsi="inter" w:cs="inter"/>
          <w:b/>
          <w:color w:val="000000"/>
        </w:rPr>
        <w:t>not</w:t>
      </w:r>
      <w:r>
        <w:rPr>
          <w:rFonts w:ascii="inter" w:eastAsia="inter" w:hAnsi="inter" w:cs="inter"/>
          <w:color w:val="000000"/>
        </w:rPr>
        <w:t xml:space="preserve"> receive a step‑up </w:t>
      </w:r>
      <w:proofErr w:type="gramStart"/>
      <w:r>
        <w:rPr>
          <w:rFonts w:ascii="inter" w:eastAsia="inter" w:hAnsi="inter" w:cs="inter"/>
          <w:color w:val="000000"/>
        </w:rPr>
        <w:t>in basis</w:t>
      </w:r>
      <w:proofErr w:type="gramEnd"/>
      <w:r>
        <w:rPr>
          <w:rFonts w:ascii="inter" w:eastAsia="inter" w:hAnsi="inter" w:cs="inter"/>
          <w:color w:val="000000"/>
        </w:rPr>
        <w:t xml:space="preserve"> and remain taxable as ordinary income to beneficiaries when distributed.</w:t>
      </w:r>
      <w:bookmarkStart w:id="56" w:name="fnref11_6"/>
      <w:bookmarkEnd w:id="56"/>
      <w:r>
        <w:fldChar w:fldCharType="begin"/>
      </w:r>
      <w:r>
        <w:instrText>HYPERLINK \l "fn11" \h</w:instrText>
      </w:r>
      <w:r>
        <w:fldChar w:fldCharType="separate"/>
      </w:r>
      <w:r>
        <w:fldChar w:fldCharType="end"/>
      </w:r>
    </w:p>
    <w:p w14:paraId="0270FAA9" w14:textId="2CEEABBA" w:rsidR="00852A05" w:rsidRDefault="00000000">
      <w:pPr>
        <w:numPr>
          <w:ilvl w:val="0"/>
          <w:numId w:val="6"/>
        </w:numPr>
        <w:spacing w:before="105" w:after="105" w:line="360" w:lineRule="auto"/>
      </w:pPr>
      <w:r>
        <w:rPr>
          <w:rFonts w:ascii="inter" w:eastAsia="inter" w:hAnsi="inter" w:cs="inter"/>
          <w:color w:val="000000"/>
        </w:rPr>
        <w:t>Certain planning strategies, such as placing assets in specific types of trusts or using lifetime gifts, can unintentionally forfeit a future step‑up in basis if not structured correctly.</w:t>
      </w:r>
      <w:bookmarkStart w:id="57" w:name="fnref14_6"/>
      <w:bookmarkEnd w:id="57"/>
      <w:r>
        <w:fldChar w:fldCharType="begin"/>
      </w:r>
      <w:r>
        <w:instrText>HYPERLINK \l "fn14" \h</w:instrText>
      </w:r>
      <w:r>
        <w:fldChar w:fldCharType="separate"/>
      </w:r>
      <w:r>
        <w:fldChar w:fldCharType="end"/>
      </w:r>
      <w:bookmarkStart w:id="58" w:name="fnref11_7"/>
      <w:bookmarkEnd w:id="58"/>
      <w:r>
        <w:fldChar w:fldCharType="begin"/>
      </w:r>
      <w:r>
        <w:instrText>HYPERLINK \l "fn11" \h</w:instrText>
      </w:r>
      <w:r>
        <w:fldChar w:fldCharType="separate"/>
      </w:r>
      <w:r>
        <w:fldChar w:fldCharType="end"/>
      </w:r>
    </w:p>
    <w:p w14:paraId="434CC7A3" w14:textId="59921480" w:rsidR="00852A05" w:rsidRDefault="00000000" w:rsidP="00C43BF3">
      <w:pPr>
        <w:spacing w:after="210" w:line="360" w:lineRule="auto"/>
      </w:pPr>
      <w:r>
        <w:rPr>
          <w:rFonts w:ascii="inter" w:eastAsia="inter" w:hAnsi="inter" w:cs="inter"/>
          <w:color w:val="000000"/>
        </w:rPr>
        <w:t>Thoughtful estate‑planning aims to balance estate‑tax exposure (for larger estates), Pennsylvania inheritance tax, and the income‑tax benefits of maximizing step‑up in basis for children and other beneficiaries. Clients should review their plan periodically with qualified advisors as both tax laws and asset values change over time.</w:t>
      </w:r>
      <w:bookmarkStart w:id="59" w:name="fnref1_5"/>
      <w:bookmarkEnd w:id="59"/>
      <w:r>
        <w:fldChar w:fldCharType="begin"/>
      </w:r>
      <w:r>
        <w:instrText>HYPERLINK \l "fn1" \h</w:instrText>
      </w:r>
      <w:r>
        <w:fldChar w:fldCharType="separate"/>
      </w:r>
      <w:r>
        <w:fldChar w:fldCharType="end"/>
      </w:r>
      <w:bookmarkStart w:id="60" w:name="fnref6_1"/>
      <w:bookmarkEnd w:id="60"/>
      <w:r>
        <w:fldChar w:fldCharType="begin"/>
      </w:r>
      <w:r>
        <w:instrText>HYPERLINK \l "fn6" \h</w:instrText>
      </w:r>
      <w:r>
        <w:fldChar w:fldCharType="separate"/>
      </w:r>
      <w:r>
        <w:fldChar w:fldCharType="end"/>
      </w:r>
      <w:bookmarkStart w:id="61" w:name="fnref2_3"/>
      <w:bookmarkEnd w:id="61"/>
      <w:r>
        <w:fldChar w:fldCharType="begin"/>
      </w:r>
      <w:r>
        <w:instrText>HYPERLINK \l "fn2" \h</w:instrText>
      </w:r>
      <w:r>
        <w:fldChar w:fldCharType="separate"/>
      </w:r>
      <w:r>
        <w:fldChar w:fldCharType="end"/>
      </w:r>
      <w:bookmarkStart w:id="62" w:name="fnref5_2"/>
      <w:bookmarkEnd w:id="62"/>
      <w:r>
        <w:fldChar w:fldCharType="begin"/>
      </w:r>
      <w:r>
        <w:instrText>HYPERLINK \l "fn5" \h</w:instrText>
      </w:r>
      <w:r>
        <w:fldChar w:fldCharType="separate"/>
      </w:r>
      <w:r>
        <w:fldChar w:fldCharType="end"/>
      </w:r>
    </w:p>
    <w:sectPr w:rsidR="00852A05" w:rsidSect="00C43BF3">
      <w:headerReference w:type="first" r:id="rId7"/>
      <w:footerReference w:type="first" r:id="rId8"/>
      <w:pgSz w:w="12240" w:h="15840"/>
      <w:pgMar w:top="1365" w:right="1365" w:bottom="1365" w:left="1365" w:header="720" w:footer="720" w:gutter="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87F31" w14:textId="77777777" w:rsidR="0084039A" w:rsidRDefault="0084039A" w:rsidP="00C43BF3">
      <w:pPr>
        <w:spacing w:after="0" w:line="240" w:lineRule="auto"/>
      </w:pPr>
      <w:r>
        <w:separator/>
      </w:r>
    </w:p>
  </w:endnote>
  <w:endnote w:type="continuationSeparator" w:id="0">
    <w:p w14:paraId="14D9922D" w14:textId="77777777" w:rsidR="0084039A" w:rsidRDefault="0084039A" w:rsidP="00C43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A045E" w14:textId="5EEFE0C2" w:rsidR="00C43BF3" w:rsidRPr="00C43BF3" w:rsidRDefault="00C43BF3" w:rsidP="00C43BF3">
    <w:pPr>
      <w:pStyle w:val="Footer"/>
      <w:jc w:val="both"/>
      <w:rPr>
        <w:sz w:val="18"/>
        <w:szCs w:val="18"/>
      </w:rPr>
    </w:pPr>
    <w:r w:rsidRPr="00C43BF3">
      <w:rPr>
        <w:sz w:val="18"/>
        <w:szCs w:val="18"/>
      </w:rPr>
      <w:t>This information is provided for educational and general informational purposes only and is not intended as, and should not be relied upon as, legal, tax, or financial advice. It does not create, and receipt or review of it does not constitute, an attorney</w:t>
    </w:r>
    <w:r w:rsidRPr="00C43BF3">
      <w:rPr>
        <w:sz w:val="18"/>
        <w:szCs w:val="18"/>
      </w:rPr>
      <w:t>–</w:t>
    </w:r>
    <w:r w:rsidRPr="00C43BF3">
      <w:rPr>
        <w:sz w:val="18"/>
        <w:szCs w:val="18"/>
      </w:rPr>
      <w:t>client relationship between you and any law firm or attorney. Estate and tax laws change frequently, and how they apply depends on your specific facts, assets, and jurisdiction; you should consult with a qualified attorney and other professional advisors before making any decisions based on this information. Any examples, figures, or descriptions are illustrative only and may not reflect current law or your personal situation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FF593" w14:textId="77777777" w:rsidR="0084039A" w:rsidRDefault="0084039A" w:rsidP="00C43BF3">
      <w:pPr>
        <w:spacing w:after="0" w:line="240" w:lineRule="auto"/>
      </w:pPr>
      <w:r>
        <w:separator/>
      </w:r>
    </w:p>
  </w:footnote>
  <w:footnote w:type="continuationSeparator" w:id="0">
    <w:p w14:paraId="070BBA02" w14:textId="77777777" w:rsidR="0084039A" w:rsidRDefault="0084039A" w:rsidP="00C43B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CFF86" w14:textId="77777777" w:rsidR="00C43BF3" w:rsidRDefault="00C43BF3" w:rsidP="00C43BF3">
    <w:pPr>
      <w:pStyle w:val="Header"/>
      <w:jc w:val="center"/>
    </w:pPr>
    <w:r>
      <w:rPr>
        <w:noProof/>
      </w:rPr>
      <w:drawing>
        <wp:inline distT="0" distB="0" distL="0" distR="0" wp14:anchorId="76F35B57" wp14:editId="7104156F">
          <wp:extent cx="1877572" cy="914402"/>
          <wp:effectExtent l="0" t="0" r="8890" b="0"/>
          <wp:docPr id="1306443496" name="Picture 1" descr="A black background with white letters and a yellow swoo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43496" name="Picture 1" descr="A black background with white letters and a yellow swoosh&#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77572" cy="914402"/>
                  </a:xfrm>
                  <a:prstGeom prst="rect">
                    <a:avLst/>
                  </a:prstGeom>
                </pic:spPr>
              </pic:pic>
            </a:graphicData>
          </a:graphic>
        </wp:inline>
      </w:drawing>
    </w:r>
  </w:p>
  <w:p w14:paraId="338957B3" w14:textId="19841DAD" w:rsidR="00C43BF3" w:rsidRPr="0009527B" w:rsidRDefault="00C43BF3" w:rsidP="00C43BF3">
    <w:pPr>
      <w:pStyle w:val="Header"/>
      <w:spacing w:before="240"/>
      <w:jc w:val="center"/>
      <w:rPr>
        <w:rFonts w:hAnsi="Georgia"/>
        <w:b/>
        <w:bCs/>
        <w:color w:val="091DDD"/>
        <w:sz w:val="20"/>
        <w:szCs w:val="20"/>
      </w:rPr>
    </w:pPr>
    <w:r w:rsidRPr="0009527B">
      <w:rPr>
        <w:rFonts w:hAnsi="Georgia"/>
        <w:b/>
        <w:bCs/>
        <w:color w:val="091DDD"/>
        <w:sz w:val="20"/>
        <w:szCs w:val="20"/>
      </w:rPr>
      <w:t>ZacBrownLaw.com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719AF"/>
    <w:multiLevelType w:val="hybridMultilevel"/>
    <w:tmpl w:val="E716C006"/>
    <w:lvl w:ilvl="0" w:tplc="54BC1D1C">
      <w:start w:val="1"/>
      <w:numFmt w:val="bullet"/>
      <w:lvlText w:val=""/>
      <w:lvlJc w:val="left"/>
      <w:pPr>
        <w:tabs>
          <w:tab w:val="num" w:pos="900"/>
        </w:tabs>
        <w:ind w:left="540" w:hanging="360"/>
      </w:pPr>
      <w:rPr>
        <w:rFonts w:ascii="Symbol" w:hAnsi="Symbol" w:hint="default"/>
      </w:rPr>
    </w:lvl>
    <w:lvl w:ilvl="1" w:tplc="29C25974">
      <w:numFmt w:val="decimal"/>
      <w:lvlText w:val=""/>
      <w:lvlJc w:val="left"/>
    </w:lvl>
    <w:lvl w:ilvl="2" w:tplc="47BEA16C">
      <w:numFmt w:val="decimal"/>
      <w:lvlText w:val=""/>
      <w:lvlJc w:val="left"/>
    </w:lvl>
    <w:lvl w:ilvl="3" w:tplc="32D0D250">
      <w:numFmt w:val="decimal"/>
      <w:lvlText w:val=""/>
      <w:lvlJc w:val="left"/>
    </w:lvl>
    <w:lvl w:ilvl="4" w:tplc="F3BE611E">
      <w:numFmt w:val="decimal"/>
      <w:lvlText w:val=""/>
      <w:lvlJc w:val="left"/>
    </w:lvl>
    <w:lvl w:ilvl="5" w:tplc="2F4C0156">
      <w:numFmt w:val="decimal"/>
      <w:lvlText w:val=""/>
      <w:lvlJc w:val="left"/>
    </w:lvl>
    <w:lvl w:ilvl="6" w:tplc="7A2C5384">
      <w:numFmt w:val="decimal"/>
      <w:lvlText w:val=""/>
      <w:lvlJc w:val="left"/>
    </w:lvl>
    <w:lvl w:ilvl="7" w:tplc="6F54504E">
      <w:numFmt w:val="decimal"/>
      <w:lvlText w:val=""/>
      <w:lvlJc w:val="left"/>
    </w:lvl>
    <w:lvl w:ilvl="8" w:tplc="11AEA420">
      <w:numFmt w:val="decimal"/>
      <w:lvlText w:val=""/>
      <w:lvlJc w:val="left"/>
    </w:lvl>
  </w:abstractNum>
  <w:abstractNum w:abstractNumId="1" w15:restartNumberingAfterBreak="0">
    <w:nsid w:val="18C91B79"/>
    <w:multiLevelType w:val="hybridMultilevel"/>
    <w:tmpl w:val="4B84808E"/>
    <w:lvl w:ilvl="0" w:tplc="5A60922E">
      <w:start w:val="1"/>
      <w:numFmt w:val="bullet"/>
      <w:lvlText w:val=""/>
      <w:lvlJc w:val="left"/>
      <w:pPr>
        <w:tabs>
          <w:tab w:val="num" w:pos="900"/>
        </w:tabs>
        <w:ind w:left="540" w:hanging="360"/>
      </w:pPr>
      <w:rPr>
        <w:rFonts w:ascii="Symbol" w:hAnsi="Symbol" w:hint="default"/>
      </w:rPr>
    </w:lvl>
    <w:lvl w:ilvl="1" w:tplc="925430FA">
      <w:numFmt w:val="decimal"/>
      <w:lvlText w:val=""/>
      <w:lvlJc w:val="left"/>
    </w:lvl>
    <w:lvl w:ilvl="2" w:tplc="66040C1A">
      <w:numFmt w:val="decimal"/>
      <w:lvlText w:val=""/>
      <w:lvlJc w:val="left"/>
    </w:lvl>
    <w:lvl w:ilvl="3" w:tplc="8CEA684E">
      <w:numFmt w:val="decimal"/>
      <w:lvlText w:val=""/>
      <w:lvlJc w:val="left"/>
    </w:lvl>
    <w:lvl w:ilvl="4" w:tplc="14C87FCC">
      <w:numFmt w:val="decimal"/>
      <w:lvlText w:val=""/>
      <w:lvlJc w:val="left"/>
    </w:lvl>
    <w:lvl w:ilvl="5" w:tplc="570E4A20">
      <w:numFmt w:val="decimal"/>
      <w:lvlText w:val=""/>
      <w:lvlJc w:val="left"/>
    </w:lvl>
    <w:lvl w:ilvl="6" w:tplc="3F0AD8E2">
      <w:numFmt w:val="decimal"/>
      <w:lvlText w:val=""/>
      <w:lvlJc w:val="left"/>
    </w:lvl>
    <w:lvl w:ilvl="7" w:tplc="CE4A813C">
      <w:numFmt w:val="decimal"/>
      <w:lvlText w:val=""/>
      <w:lvlJc w:val="left"/>
    </w:lvl>
    <w:lvl w:ilvl="8" w:tplc="6AE68A3C">
      <w:numFmt w:val="decimal"/>
      <w:lvlText w:val=""/>
      <w:lvlJc w:val="left"/>
    </w:lvl>
  </w:abstractNum>
  <w:abstractNum w:abstractNumId="2" w15:restartNumberingAfterBreak="0">
    <w:nsid w:val="230B1F60"/>
    <w:multiLevelType w:val="hybridMultilevel"/>
    <w:tmpl w:val="9F7E445E"/>
    <w:lvl w:ilvl="0" w:tplc="5B6CBCFC">
      <w:start w:val="1"/>
      <w:numFmt w:val="bullet"/>
      <w:lvlText w:val=""/>
      <w:lvlJc w:val="left"/>
      <w:pPr>
        <w:tabs>
          <w:tab w:val="num" w:pos="900"/>
        </w:tabs>
        <w:ind w:left="540" w:hanging="360"/>
      </w:pPr>
      <w:rPr>
        <w:rFonts w:ascii="Symbol" w:hAnsi="Symbol" w:hint="default"/>
      </w:rPr>
    </w:lvl>
    <w:lvl w:ilvl="1" w:tplc="CAFEE840">
      <w:start w:val="1"/>
      <w:numFmt w:val="bullet"/>
      <w:lvlText w:val="o"/>
      <w:lvlJc w:val="left"/>
      <w:pPr>
        <w:tabs>
          <w:tab w:val="num" w:pos="1440"/>
        </w:tabs>
        <w:ind w:left="1080" w:hanging="360"/>
      </w:pPr>
      <w:rPr>
        <w:rFonts w:ascii="Courier New" w:hAnsi="Courier New" w:cs="Courier New" w:hint="default"/>
      </w:rPr>
    </w:lvl>
    <w:lvl w:ilvl="2" w:tplc="9C969C7E">
      <w:numFmt w:val="decimal"/>
      <w:lvlText w:val=""/>
      <w:lvlJc w:val="left"/>
    </w:lvl>
    <w:lvl w:ilvl="3" w:tplc="02F02304">
      <w:numFmt w:val="decimal"/>
      <w:lvlText w:val=""/>
      <w:lvlJc w:val="left"/>
    </w:lvl>
    <w:lvl w:ilvl="4" w:tplc="92D46CE0">
      <w:numFmt w:val="decimal"/>
      <w:lvlText w:val=""/>
      <w:lvlJc w:val="left"/>
    </w:lvl>
    <w:lvl w:ilvl="5" w:tplc="361C46EA">
      <w:numFmt w:val="decimal"/>
      <w:lvlText w:val=""/>
      <w:lvlJc w:val="left"/>
    </w:lvl>
    <w:lvl w:ilvl="6" w:tplc="0A1E5C02">
      <w:numFmt w:val="decimal"/>
      <w:lvlText w:val=""/>
      <w:lvlJc w:val="left"/>
    </w:lvl>
    <w:lvl w:ilvl="7" w:tplc="2DBE4826">
      <w:numFmt w:val="decimal"/>
      <w:lvlText w:val=""/>
      <w:lvlJc w:val="left"/>
    </w:lvl>
    <w:lvl w:ilvl="8" w:tplc="2B522F58">
      <w:numFmt w:val="decimal"/>
      <w:lvlText w:val=""/>
      <w:lvlJc w:val="left"/>
    </w:lvl>
  </w:abstractNum>
  <w:abstractNum w:abstractNumId="3" w15:restartNumberingAfterBreak="0">
    <w:nsid w:val="4108122D"/>
    <w:multiLevelType w:val="hybridMultilevel"/>
    <w:tmpl w:val="0DB88D68"/>
    <w:lvl w:ilvl="0" w:tplc="53182B02">
      <w:start w:val="1"/>
      <w:numFmt w:val="bullet"/>
      <w:lvlText w:val=""/>
      <w:lvlJc w:val="left"/>
      <w:pPr>
        <w:tabs>
          <w:tab w:val="num" w:pos="900"/>
        </w:tabs>
        <w:ind w:left="540" w:hanging="360"/>
      </w:pPr>
      <w:rPr>
        <w:rFonts w:ascii="Symbol" w:hAnsi="Symbol" w:hint="default"/>
      </w:rPr>
    </w:lvl>
    <w:lvl w:ilvl="1" w:tplc="4670AD16">
      <w:numFmt w:val="decimal"/>
      <w:lvlText w:val=""/>
      <w:lvlJc w:val="left"/>
    </w:lvl>
    <w:lvl w:ilvl="2" w:tplc="A050C568">
      <w:numFmt w:val="decimal"/>
      <w:lvlText w:val=""/>
      <w:lvlJc w:val="left"/>
    </w:lvl>
    <w:lvl w:ilvl="3" w:tplc="BACE11FE">
      <w:numFmt w:val="decimal"/>
      <w:lvlText w:val=""/>
      <w:lvlJc w:val="left"/>
    </w:lvl>
    <w:lvl w:ilvl="4" w:tplc="9CB687A8">
      <w:numFmt w:val="decimal"/>
      <w:lvlText w:val=""/>
      <w:lvlJc w:val="left"/>
    </w:lvl>
    <w:lvl w:ilvl="5" w:tplc="CC14BA22">
      <w:numFmt w:val="decimal"/>
      <w:lvlText w:val=""/>
      <w:lvlJc w:val="left"/>
    </w:lvl>
    <w:lvl w:ilvl="6" w:tplc="26725820">
      <w:numFmt w:val="decimal"/>
      <w:lvlText w:val=""/>
      <w:lvlJc w:val="left"/>
    </w:lvl>
    <w:lvl w:ilvl="7" w:tplc="21089DCA">
      <w:numFmt w:val="decimal"/>
      <w:lvlText w:val=""/>
      <w:lvlJc w:val="left"/>
    </w:lvl>
    <w:lvl w:ilvl="8" w:tplc="DAD47524">
      <w:numFmt w:val="decimal"/>
      <w:lvlText w:val=""/>
      <w:lvlJc w:val="left"/>
    </w:lvl>
  </w:abstractNum>
  <w:abstractNum w:abstractNumId="4" w15:restartNumberingAfterBreak="0">
    <w:nsid w:val="55AC707B"/>
    <w:multiLevelType w:val="hybridMultilevel"/>
    <w:tmpl w:val="CA1054D4"/>
    <w:lvl w:ilvl="0" w:tplc="A39E8196">
      <w:numFmt w:val="decimal"/>
      <w:lvlText w:val=""/>
      <w:lvlJc w:val="left"/>
    </w:lvl>
    <w:lvl w:ilvl="1" w:tplc="F2C0722A">
      <w:numFmt w:val="decimal"/>
      <w:lvlText w:val=""/>
      <w:lvlJc w:val="left"/>
    </w:lvl>
    <w:lvl w:ilvl="2" w:tplc="2FF2D574">
      <w:numFmt w:val="decimal"/>
      <w:lvlText w:val=""/>
      <w:lvlJc w:val="left"/>
    </w:lvl>
    <w:lvl w:ilvl="3" w:tplc="7D385718">
      <w:numFmt w:val="decimal"/>
      <w:lvlText w:val=""/>
      <w:lvlJc w:val="left"/>
    </w:lvl>
    <w:lvl w:ilvl="4" w:tplc="8F94AF96">
      <w:numFmt w:val="decimal"/>
      <w:lvlText w:val=""/>
      <w:lvlJc w:val="left"/>
    </w:lvl>
    <w:lvl w:ilvl="5" w:tplc="C0C49050">
      <w:numFmt w:val="decimal"/>
      <w:lvlText w:val=""/>
      <w:lvlJc w:val="left"/>
    </w:lvl>
    <w:lvl w:ilvl="6" w:tplc="C7500558">
      <w:numFmt w:val="decimal"/>
      <w:lvlText w:val=""/>
      <w:lvlJc w:val="left"/>
    </w:lvl>
    <w:lvl w:ilvl="7" w:tplc="81145968">
      <w:numFmt w:val="decimal"/>
      <w:lvlText w:val=""/>
      <w:lvlJc w:val="left"/>
    </w:lvl>
    <w:lvl w:ilvl="8" w:tplc="539AA79C">
      <w:numFmt w:val="decimal"/>
      <w:lvlText w:val=""/>
      <w:lvlJc w:val="left"/>
    </w:lvl>
  </w:abstractNum>
  <w:abstractNum w:abstractNumId="5" w15:restartNumberingAfterBreak="0">
    <w:nsid w:val="65FF276A"/>
    <w:multiLevelType w:val="hybridMultilevel"/>
    <w:tmpl w:val="729EB152"/>
    <w:lvl w:ilvl="0" w:tplc="26FCF160">
      <w:start w:val="1"/>
      <w:numFmt w:val="bullet"/>
      <w:lvlText w:val=""/>
      <w:lvlJc w:val="left"/>
      <w:pPr>
        <w:tabs>
          <w:tab w:val="num" w:pos="900"/>
        </w:tabs>
        <w:ind w:left="540" w:hanging="360"/>
      </w:pPr>
      <w:rPr>
        <w:rFonts w:ascii="Symbol" w:hAnsi="Symbol" w:hint="default"/>
      </w:rPr>
    </w:lvl>
    <w:lvl w:ilvl="1" w:tplc="7BFCECB2">
      <w:numFmt w:val="decimal"/>
      <w:lvlText w:val=""/>
      <w:lvlJc w:val="left"/>
    </w:lvl>
    <w:lvl w:ilvl="2" w:tplc="E9888A1E">
      <w:numFmt w:val="decimal"/>
      <w:lvlText w:val=""/>
      <w:lvlJc w:val="left"/>
    </w:lvl>
    <w:lvl w:ilvl="3" w:tplc="34643ADA">
      <w:numFmt w:val="decimal"/>
      <w:lvlText w:val=""/>
      <w:lvlJc w:val="left"/>
    </w:lvl>
    <w:lvl w:ilvl="4" w:tplc="2C7C0938">
      <w:numFmt w:val="decimal"/>
      <w:lvlText w:val=""/>
      <w:lvlJc w:val="left"/>
    </w:lvl>
    <w:lvl w:ilvl="5" w:tplc="E668D3C4">
      <w:numFmt w:val="decimal"/>
      <w:lvlText w:val=""/>
      <w:lvlJc w:val="left"/>
    </w:lvl>
    <w:lvl w:ilvl="6" w:tplc="89B8ED60">
      <w:numFmt w:val="decimal"/>
      <w:lvlText w:val=""/>
      <w:lvlJc w:val="left"/>
    </w:lvl>
    <w:lvl w:ilvl="7" w:tplc="04B630F4">
      <w:numFmt w:val="decimal"/>
      <w:lvlText w:val=""/>
      <w:lvlJc w:val="left"/>
    </w:lvl>
    <w:lvl w:ilvl="8" w:tplc="8C644ECA">
      <w:numFmt w:val="decimal"/>
      <w:lvlText w:val=""/>
      <w:lvlJc w:val="left"/>
    </w:lvl>
  </w:abstractNum>
  <w:abstractNum w:abstractNumId="6" w15:restartNumberingAfterBreak="0">
    <w:nsid w:val="723C44B8"/>
    <w:multiLevelType w:val="hybridMultilevel"/>
    <w:tmpl w:val="F9A6206C"/>
    <w:lvl w:ilvl="0" w:tplc="3ECA3FB8">
      <w:start w:val="1"/>
      <w:numFmt w:val="bullet"/>
      <w:lvlText w:val=""/>
      <w:lvlJc w:val="left"/>
      <w:pPr>
        <w:tabs>
          <w:tab w:val="num" w:pos="900"/>
        </w:tabs>
        <w:ind w:left="540" w:hanging="360"/>
      </w:pPr>
      <w:rPr>
        <w:rFonts w:ascii="Symbol" w:hAnsi="Symbol" w:hint="default"/>
      </w:rPr>
    </w:lvl>
    <w:lvl w:ilvl="1" w:tplc="0B52BD4E">
      <w:start w:val="1"/>
      <w:numFmt w:val="bullet"/>
      <w:lvlText w:val="o"/>
      <w:lvlJc w:val="left"/>
      <w:pPr>
        <w:tabs>
          <w:tab w:val="num" w:pos="1440"/>
        </w:tabs>
        <w:ind w:left="1080" w:hanging="360"/>
      </w:pPr>
      <w:rPr>
        <w:rFonts w:ascii="Courier New" w:hAnsi="Courier New" w:cs="Courier New" w:hint="default"/>
      </w:rPr>
    </w:lvl>
    <w:lvl w:ilvl="2" w:tplc="DCC29626">
      <w:numFmt w:val="decimal"/>
      <w:lvlText w:val=""/>
      <w:lvlJc w:val="left"/>
    </w:lvl>
    <w:lvl w:ilvl="3" w:tplc="9ED86DCC">
      <w:numFmt w:val="decimal"/>
      <w:lvlText w:val=""/>
      <w:lvlJc w:val="left"/>
    </w:lvl>
    <w:lvl w:ilvl="4" w:tplc="AB624702">
      <w:numFmt w:val="decimal"/>
      <w:lvlText w:val=""/>
      <w:lvlJc w:val="left"/>
    </w:lvl>
    <w:lvl w:ilvl="5" w:tplc="AF62DA34">
      <w:numFmt w:val="decimal"/>
      <w:lvlText w:val=""/>
      <w:lvlJc w:val="left"/>
    </w:lvl>
    <w:lvl w:ilvl="6" w:tplc="9F9EE972">
      <w:numFmt w:val="decimal"/>
      <w:lvlText w:val=""/>
      <w:lvlJc w:val="left"/>
    </w:lvl>
    <w:lvl w:ilvl="7" w:tplc="464E7184">
      <w:numFmt w:val="decimal"/>
      <w:lvlText w:val=""/>
      <w:lvlJc w:val="left"/>
    </w:lvl>
    <w:lvl w:ilvl="8" w:tplc="6582A92A">
      <w:numFmt w:val="decimal"/>
      <w:lvlText w:val=""/>
      <w:lvlJc w:val="left"/>
    </w:lvl>
  </w:abstractNum>
  <w:abstractNum w:abstractNumId="7" w15:restartNumberingAfterBreak="0">
    <w:nsid w:val="7A9B5233"/>
    <w:multiLevelType w:val="hybridMultilevel"/>
    <w:tmpl w:val="826AA880"/>
    <w:lvl w:ilvl="0" w:tplc="CEE6CB4E">
      <w:start w:val="1"/>
      <w:numFmt w:val="decimal"/>
      <w:lvlText w:val="%1."/>
      <w:lvlJc w:val="left"/>
      <w:pPr>
        <w:tabs>
          <w:tab w:val="num" w:pos="900"/>
        </w:tabs>
        <w:ind w:left="540" w:hanging="360"/>
      </w:pPr>
    </w:lvl>
    <w:lvl w:ilvl="1" w:tplc="2DD6B91E">
      <w:numFmt w:val="decimal"/>
      <w:lvlText w:val=""/>
      <w:lvlJc w:val="left"/>
    </w:lvl>
    <w:lvl w:ilvl="2" w:tplc="3028F0BE">
      <w:numFmt w:val="decimal"/>
      <w:lvlText w:val=""/>
      <w:lvlJc w:val="left"/>
    </w:lvl>
    <w:lvl w:ilvl="3" w:tplc="3C2A606C">
      <w:numFmt w:val="decimal"/>
      <w:lvlText w:val=""/>
      <w:lvlJc w:val="left"/>
    </w:lvl>
    <w:lvl w:ilvl="4" w:tplc="832CA1EE">
      <w:numFmt w:val="decimal"/>
      <w:lvlText w:val=""/>
      <w:lvlJc w:val="left"/>
    </w:lvl>
    <w:lvl w:ilvl="5" w:tplc="D98A2E06">
      <w:numFmt w:val="decimal"/>
      <w:lvlText w:val=""/>
      <w:lvlJc w:val="left"/>
    </w:lvl>
    <w:lvl w:ilvl="6" w:tplc="FBC672E6">
      <w:numFmt w:val="decimal"/>
      <w:lvlText w:val=""/>
      <w:lvlJc w:val="left"/>
    </w:lvl>
    <w:lvl w:ilvl="7" w:tplc="4988487A">
      <w:numFmt w:val="decimal"/>
      <w:lvlText w:val=""/>
      <w:lvlJc w:val="left"/>
    </w:lvl>
    <w:lvl w:ilvl="8" w:tplc="C2C6B7F6">
      <w:numFmt w:val="decimal"/>
      <w:lvlText w:val=""/>
      <w:lvlJc w:val="left"/>
    </w:lvl>
  </w:abstractNum>
  <w:num w:numId="1" w16cid:durableId="1596091948">
    <w:abstractNumId w:val="3"/>
  </w:num>
  <w:num w:numId="2" w16cid:durableId="151484952">
    <w:abstractNumId w:val="2"/>
  </w:num>
  <w:num w:numId="3" w16cid:durableId="534659823">
    <w:abstractNumId w:val="6"/>
  </w:num>
  <w:num w:numId="4" w16cid:durableId="1974435310">
    <w:abstractNumId w:val="0"/>
  </w:num>
  <w:num w:numId="5" w16cid:durableId="677583658">
    <w:abstractNumId w:val="1"/>
  </w:num>
  <w:num w:numId="6" w16cid:durableId="1252548031">
    <w:abstractNumId w:val="5"/>
  </w:num>
  <w:num w:numId="7" w16cid:durableId="1851406026">
    <w:abstractNumId w:val="4"/>
  </w:num>
  <w:num w:numId="8" w16cid:durableId="3294092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A05"/>
    <w:rsid w:val="00051FBE"/>
    <w:rsid w:val="0009527B"/>
    <w:rsid w:val="00126827"/>
    <w:rsid w:val="00142191"/>
    <w:rsid w:val="00295A33"/>
    <w:rsid w:val="007C72A1"/>
    <w:rsid w:val="0084039A"/>
    <w:rsid w:val="00852A05"/>
    <w:rsid w:val="00C43BF3"/>
    <w:rsid w:val="00F61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9F42B"/>
  <w15:docId w15:val="{CA1443C1-A0E1-491D-B4CE-F606CCB4F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Header">
    <w:name w:val="header"/>
    <w:basedOn w:val="Normal"/>
    <w:link w:val="HeaderChar"/>
    <w:uiPriority w:val="99"/>
    <w:unhideWhenUsed/>
    <w:rsid w:val="00C43B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BF3"/>
  </w:style>
  <w:style w:type="paragraph" w:styleId="Footer">
    <w:name w:val="footer"/>
    <w:basedOn w:val="Normal"/>
    <w:link w:val="FooterChar"/>
    <w:uiPriority w:val="99"/>
    <w:unhideWhenUsed/>
    <w:rsid w:val="00C43B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B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1182</Words>
  <Characters>6372</Characters>
  <Application>Microsoft Office Word</Application>
  <DocSecurity>0</DocSecurity>
  <Lines>102</Lines>
  <Paragraphs>62</Paragraphs>
  <ScaleCrop>false</ScaleCrop>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Carl Zacharia</cp:lastModifiedBy>
  <cp:revision>5</cp:revision>
  <cp:lastPrinted>2025-12-25T20:12:00Z</cp:lastPrinted>
  <dcterms:created xsi:type="dcterms:W3CDTF">2025-12-25T20:12:00Z</dcterms:created>
  <dcterms:modified xsi:type="dcterms:W3CDTF">2025-12-25T20:26:00Z</dcterms:modified>
</cp:coreProperties>
</file>