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1ED23" w14:textId="42F576F5" w:rsidR="00CA396E" w:rsidRPr="005C5C6B" w:rsidRDefault="00CA396E">
      <w:pPr>
        <w:rPr>
          <w:rFonts w:ascii="Times New Roman" w:hAnsi="Times New Roman" w:cs="Times New Roman"/>
          <w:b/>
          <w:bCs/>
          <w:sz w:val="28"/>
          <w:szCs w:val="28"/>
        </w:rPr>
      </w:pPr>
      <w:r w:rsidRPr="005C5C6B">
        <w:rPr>
          <w:rFonts w:ascii="Times New Roman" w:hAnsi="Times New Roman" w:cs="Times New Roman"/>
          <w:b/>
          <w:bCs/>
          <w:sz w:val="28"/>
          <w:szCs w:val="28"/>
        </w:rPr>
        <w:t>Critical Communications in Remote Areas using LEO Satellites</w:t>
      </w:r>
    </w:p>
    <w:p w14:paraId="1237E539" w14:textId="6713BF93" w:rsidR="00CA396E" w:rsidRPr="005C5C6B" w:rsidRDefault="005C5C6B" w:rsidP="0034607E">
      <w:pPr>
        <w:spacing w:line="360" w:lineRule="auto"/>
        <w:rPr>
          <w:rFonts w:ascii="Times New Roman" w:hAnsi="Times New Roman" w:cs="Times New Roman"/>
        </w:rPr>
      </w:pPr>
      <w:r w:rsidRPr="005C5C6B">
        <w:rPr>
          <w:rFonts w:ascii="Times New Roman" w:hAnsi="Times New Roman" w:cs="Times New Roman"/>
        </w:rPr>
        <w:t>YICHEN CHEN</w:t>
      </w:r>
    </w:p>
    <w:p w14:paraId="2B5D85A6" w14:textId="77777777" w:rsidR="005C5C6B" w:rsidRPr="005C5C6B" w:rsidRDefault="005C5C6B" w:rsidP="0034607E">
      <w:pPr>
        <w:spacing w:line="360" w:lineRule="auto"/>
        <w:rPr>
          <w:rFonts w:ascii="Times New Roman" w:hAnsi="Times New Roman" w:cs="Times New Roman"/>
        </w:rPr>
      </w:pPr>
    </w:p>
    <w:p w14:paraId="044A95E1" w14:textId="623A2680" w:rsidR="00CA396E" w:rsidRPr="005C5C6B" w:rsidRDefault="00CA396E" w:rsidP="0034607E">
      <w:pPr>
        <w:spacing w:line="360" w:lineRule="auto"/>
        <w:rPr>
          <w:rFonts w:ascii="Times New Roman" w:hAnsi="Times New Roman" w:cs="Times New Roman"/>
          <w:i/>
          <w:iCs/>
        </w:rPr>
      </w:pPr>
      <w:r w:rsidRPr="005C5C6B">
        <w:rPr>
          <w:rFonts w:ascii="Times New Roman" w:hAnsi="Times New Roman" w:cs="Times New Roman"/>
          <w:b/>
          <w:bCs/>
        </w:rPr>
        <w:t> </w:t>
      </w:r>
      <w:r w:rsidRPr="005C5C6B">
        <w:rPr>
          <w:rFonts w:ascii="Times New Roman" w:hAnsi="Times New Roman" w:cs="Times New Roman"/>
          <w:i/>
          <w:iCs/>
        </w:rPr>
        <w:t>Literature reviewed and cited</w:t>
      </w:r>
    </w:p>
    <w:p w14:paraId="024DE180" w14:textId="77777777" w:rsidR="00CA396E" w:rsidRPr="005C5C6B" w:rsidRDefault="00CA396E" w:rsidP="0034607E">
      <w:pPr>
        <w:pStyle w:val="NormalWeb"/>
        <w:spacing w:before="0" w:beforeAutospacing="0" w:after="0" w:afterAutospacing="0" w:line="360" w:lineRule="auto"/>
        <w:ind w:left="720" w:hanging="720"/>
        <w:rPr>
          <w:color w:val="000000"/>
        </w:rPr>
      </w:pPr>
      <w:r w:rsidRPr="005C5C6B">
        <w:rPr>
          <w:color w:val="000000"/>
        </w:rPr>
        <w:t xml:space="preserve">Abdi, B., </w:t>
      </w:r>
      <w:proofErr w:type="spellStart"/>
      <w:r w:rsidRPr="005C5C6B">
        <w:rPr>
          <w:color w:val="000000"/>
        </w:rPr>
        <w:t>Mirtalaei</w:t>
      </w:r>
      <w:proofErr w:type="spellEnd"/>
      <w:r w:rsidRPr="005C5C6B">
        <w:rPr>
          <w:color w:val="000000"/>
        </w:rPr>
        <w:t>, S. M. M., &amp; Ghasemi, R. (2013). EMB Charger and MPPT Merging in Micro-Satellites.</w:t>
      </w:r>
      <w:r w:rsidRPr="005C5C6B">
        <w:rPr>
          <w:rStyle w:val="apple-converted-space"/>
          <w:rFonts w:eastAsiaTheme="majorEastAsia"/>
          <w:color w:val="000000"/>
        </w:rPr>
        <w:t> </w:t>
      </w:r>
      <w:r w:rsidRPr="005C5C6B">
        <w:rPr>
          <w:i/>
          <w:iCs/>
          <w:color w:val="000000"/>
        </w:rPr>
        <w:t>International Journal of Machine Learning and Computing</w:t>
      </w:r>
      <w:r w:rsidRPr="005C5C6B">
        <w:rPr>
          <w:color w:val="000000"/>
        </w:rPr>
        <w:t>, 318–321.</w:t>
      </w:r>
      <w:r w:rsidRPr="005C5C6B">
        <w:rPr>
          <w:rStyle w:val="apple-converted-space"/>
          <w:rFonts w:eastAsiaTheme="majorEastAsia"/>
          <w:color w:val="000000"/>
        </w:rPr>
        <w:t> </w:t>
      </w:r>
      <w:r w:rsidRPr="005C5C6B">
        <w:rPr>
          <w:rStyle w:val="url"/>
          <w:rFonts w:eastAsiaTheme="majorEastAsia"/>
          <w:color w:val="000000"/>
        </w:rPr>
        <w:t>https://doi.org/10.7763/ijmlc.2013.v3.330</w:t>
      </w:r>
    </w:p>
    <w:p w14:paraId="00D09311" w14:textId="77777777" w:rsidR="00CA396E" w:rsidRPr="005C5C6B" w:rsidRDefault="00CA396E" w:rsidP="0034607E">
      <w:pPr>
        <w:pStyle w:val="NormalWeb"/>
        <w:spacing w:before="0" w:beforeAutospacing="0" w:after="0" w:afterAutospacing="0" w:line="360" w:lineRule="auto"/>
        <w:ind w:left="720" w:hanging="720"/>
        <w:rPr>
          <w:rStyle w:val="url"/>
          <w:rFonts w:eastAsiaTheme="majorEastAsia"/>
          <w:color w:val="000000"/>
        </w:rPr>
      </w:pPr>
      <w:r w:rsidRPr="005C5C6B">
        <w:rPr>
          <w:color w:val="000000"/>
        </w:rPr>
        <w:t xml:space="preserve">Ahmmed, T., </w:t>
      </w:r>
      <w:proofErr w:type="spellStart"/>
      <w:r w:rsidRPr="005C5C6B">
        <w:rPr>
          <w:color w:val="000000"/>
        </w:rPr>
        <w:t>Alidadi</w:t>
      </w:r>
      <w:proofErr w:type="spellEnd"/>
      <w:r w:rsidRPr="005C5C6B">
        <w:rPr>
          <w:color w:val="000000"/>
        </w:rPr>
        <w:t xml:space="preserve">, A., Zhang, Z., Chaudhry, A. U., &amp; </w:t>
      </w:r>
      <w:proofErr w:type="spellStart"/>
      <w:r w:rsidRPr="005C5C6B">
        <w:rPr>
          <w:color w:val="000000"/>
        </w:rPr>
        <w:t>Yanikomeroglu</w:t>
      </w:r>
      <w:proofErr w:type="spellEnd"/>
      <w:r w:rsidRPr="005C5C6B">
        <w:rPr>
          <w:color w:val="000000"/>
        </w:rPr>
        <w:t>, H. (2022). The Digital Divide in Canada and the Role of LEO Satellites in Bridging the Gap.</w:t>
      </w:r>
      <w:r w:rsidRPr="005C5C6B">
        <w:rPr>
          <w:rStyle w:val="apple-converted-space"/>
          <w:rFonts w:eastAsiaTheme="majorEastAsia"/>
          <w:color w:val="000000"/>
        </w:rPr>
        <w:t> </w:t>
      </w:r>
      <w:r w:rsidRPr="005C5C6B">
        <w:rPr>
          <w:i/>
          <w:iCs/>
          <w:color w:val="000000"/>
        </w:rPr>
        <w:t>IEEE Communications Magazine</w:t>
      </w:r>
      <w:r w:rsidRPr="005C5C6B">
        <w:rPr>
          <w:color w:val="000000"/>
        </w:rPr>
        <w:t>,</w:t>
      </w:r>
      <w:r w:rsidRPr="005C5C6B">
        <w:rPr>
          <w:rStyle w:val="apple-converted-space"/>
          <w:rFonts w:eastAsiaTheme="majorEastAsia"/>
          <w:color w:val="000000"/>
        </w:rPr>
        <w:t> </w:t>
      </w:r>
      <w:r w:rsidRPr="005C5C6B">
        <w:rPr>
          <w:i/>
          <w:iCs/>
          <w:color w:val="000000"/>
        </w:rPr>
        <w:t>60</w:t>
      </w:r>
      <w:r w:rsidRPr="005C5C6B">
        <w:rPr>
          <w:color w:val="000000"/>
        </w:rPr>
        <w:t>(6), 24–30.</w:t>
      </w:r>
      <w:r w:rsidRPr="005C5C6B">
        <w:rPr>
          <w:rStyle w:val="apple-converted-space"/>
          <w:rFonts w:eastAsiaTheme="majorEastAsia"/>
          <w:color w:val="000000"/>
        </w:rPr>
        <w:t> </w:t>
      </w:r>
      <w:hyperlink r:id="rId4" w:history="1">
        <w:r w:rsidRPr="005C5C6B">
          <w:rPr>
            <w:rStyle w:val="Hyperlink"/>
            <w:rFonts w:eastAsiaTheme="majorEastAsia"/>
          </w:rPr>
          <w:t>https://doi.org/10.1109/mcom.001.2100795</w:t>
        </w:r>
      </w:hyperlink>
    </w:p>
    <w:p w14:paraId="5CA6A30E" w14:textId="5A8A30CA" w:rsidR="00CA396E" w:rsidRPr="005C5C6B" w:rsidRDefault="00CA396E" w:rsidP="0034607E">
      <w:pPr>
        <w:pStyle w:val="NormalWeb"/>
        <w:spacing w:before="0" w:beforeAutospacing="0" w:after="0" w:afterAutospacing="0" w:line="360" w:lineRule="auto"/>
        <w:ind w:left="720" w:hanging="720"/>
        <w:rPr>
          <w:rStyle w:val="url"/>
          <w:rFonts w:eastAsiaTheme="majorEastAsia"/>
          <w:color w:val="000000"/>
        </w:rPr>
      </w:pPr>
      <w:r w:rsidRPr="005C5C6B">
        <w:rPr>
          <w:color w:val="000000"/>
        </w:rPr>
        <w:t xml:space="preserve">Ali, A. J., </w:t>
      </w:r>
      <w:proofErr w:type="spellStart"/>
      <w:r w:rsidRPr="005C5C6B">
        <w:rPr>
          <w:color w:val="000000"/>
        </w:rPr>
        <w:t>Khalily</w:t>
      </w:r>
      <w:proofErr w:type="spellEnd"/>
      <w:r w:rsidRPr="005C5C6B">
        <w:rPr>
          <w:color w:val="000000"/>
        </w:rPr>
        <w:t xml:space="preserve">, M., </w:t>
      </w:r>
      <w:proofErr w:type="spellStart"/>
      <w:r w:rsidRPr="005C5C6B">
        <w:rPr>
          <w:color w:val="000000"/>
        </w:rPr>
        <w:t>Sattarzadeh</w:t>
      </w:r>
      <w:proofErr w:type="spellEnd"/>
      <w:r w:rsidRPr="005C5C6B">
        <w:rPr>
          <w:color w:val="000000"/>
        </w:rPr>
        <w:t xml:space="preserve">, A., Massoud, A., </w:t>
      </w:r>
      <w:proofErr w:type="spellStart"/>
      <w:r w:rsidRPr="005C5C6B">
        <w:rPr>
          <w:color w:val="000000"/>
        </w:rPr>
        <w:t>Hasna</w:t>
      </w:r>
      <w:proofErr w:type="spellEnd"/>
      <w:r w:rsidRPr="005C5C6B">
        <w:rPr>
          <w:color w:val="000000"/>
        </w:rPr>
        <w:t xml:space="preserve">, M. O., Khattab, T., </w:t>
      </w:r>
      <w:proofErr w:type="spellStart"/>
      <w:r w:rsidRPr="005C5C6B">
        <w:rPr>
          <w:color w:val="000000"/>
        </w:rPr>
        <w:t>Yurduseven</w:t>
      </w:r>
      <w:proofErr w:type="spellEnd"/>
      <w:r w:rsidRPr="005C5C6B">
        <w:rPr>
          <w:color w:val="000000"/>
        </w:rPr>
        <w:t xml:space="preserve">, O., &amp; </w:t>
      </w:r>
      <w:proofErr w:type="spellStart"/>
      <w:r w:rsidRPr="005C5C6B">
        <w:rPr>
          <w:color w:val="000000"/>
        </w:rPr>
        <w:t>Tafazolli</w:t>
      </w:r>
      <w:proofErr w:type="spellEnd"/>
      <w:r w:rsidRPr="005C5C6B">
        <w:rPr>
          <w:color w:val="000000"/>
        </w:rPr>
        <w:t>, R. (2021). Power Budgeting of LEO Satellites: An Electrical Power System Design for 5G Missions.</w:t>
      </w:r>
      <w:r w:rsidRPr="005C5C6B">
        <w:rPr>
          <w:rStyle w:val="apple-converted-space"/>
          <w:rFonts w:eastAsiaTheme="majorEastAsia"/>
          <w:color w:val="000000"/>
        </w:rPr>
        <w:t> </w:t>
      </w:r>
      <w:r w:rsidRPr="005C5C6B">
        <w:rPr>
          <w:i/>
          <w:iCs/>
          <w:color w:val="000000"/>
        </w:rPr>
        <w:t>IEEE Access</w:t>
      </w:r>
      <w:r w:rsidRPr="005C5C6B">
        <w:rPr>
          <w:color w:val="000000"/>
        </w:rPr>
        <w:t>,</w:t>
      </w:r>
      <w:r w:rsidRPr="005C5C6B">
        <w:rPr>
          <w:rStyle w:val="apple-converted-space"/>
          <w:rFonts w:eastAsiaTheme="majorEastAsia"/>
          <w:color w:val="000000"/>
        </w:rPr>
        <w:t> </w:t>
      </w:r>
      <w:r w:rsidRPr="005C5C6B">
        <w:rPr>
          <w:i/>
          <w:iCs/>
          <w:color w:val="000000"/>
        </w:rPr>
        <w:t>9</w:t>
      </w:r>
      <w:r w:rsidRPr="005C5C6B">
        <w:rPr>
          <w:color w:val="000000"/>
        </w:rPr>
        <w:t>, 113258–113269.</w:t>
      </w:r>
      <w:r w:rsidRPr="005C5C6B">
        <w:rPr>
          <w:rStyle w:val="apple-converted-space"/>
          <w:rFonts w:eastAsiaTheme="majorEastAsia"/>
          <w:color w:val="000000"/>
        </w:rPr>
        <w:t> </w:t>
      </w:r>
      <w:hyperlink r:id="rId5" w:history="1">
        <w:r w:rsidR="0034607E" w:rsidRPr="005C5C6B">
          <w:rPr>
            <w:rStyle w:val="Hyperlink"/>
            <w:rFonts w:eastAsiaTheme="majorEastAsia"/>
          </w:rPr>
          <w:t>https://doi.org/10.1109/access.2021.3104098</w:t>
        </w:r>
      </w:hyperlink>
    </w:p>
    <w:p w14:paraId="19EF9EC9" w14:textId="458D09B0" w:rsidR="0034607E" w:rsidRPr="005C5C6B" w:rsidRDefault="0034607E" w:rsidP="0034607E">
      <w:pPr>
        <w:pStyle w:val="NormalWeb"/>
        <w:spacing w:before="0" w:beforeAutospacing="0" w:after="0" w:afterAutospacing="0" w:line="360" w:lineRule="auto"/>
        <w:ind w:left="720" w:hanging="720"/>
        <w:rPr>
          <w:color w:val="000000"/>
        </w:rPr>
      </w:pPr>
      <w:r w:rsidRPr="005C5C6B">
        <w:rPr>
          <w:color w:val="000000"/>
        </w:rPr>
        <w:t xml:space="preserve">Andreadis, A., </w:t>
      </w:r>
      <w:proofErr w:type="spellStart"/>
      <w:r w:rsidRPr="005C5C6B">
        <w:rPr>
          <w:color w:val="000000"/>
        </w:rPr>
        <w:t>Giambene</w:t>
      </w:r>
      <w:proofErr w:type="spellEnd"/>
      <w:r w:rsidRPr="005C5C6B">
        <w:rPr>
          <w:color w:val="000000"/>
        </w:rPr>
        <w:t>, G., &amp; Zambon, R. (2023b). Low-Power IoT for Monitoring Unconnected Remote Areas.</w:t>
      </w:r>
      <w:r w:rsidRPr="005C5C6B">
        <w:rPr>
          <w:rStyle w:val="apple-converted-space"/>
          <w:rFonts w:eastAsiaTheme="majorEastAsia"/>
          <w:color w:val="000000"/>
        </w:rPr>
        <w:t> </w:t>
      </w:r>
      <w:r w:rsidRPr="005C5C6B">
        <w:rPr>
          <w:i/>
          <w:iCs/>
          <w:color w:val="000000"/>
        </w:rPr>
        <w:t>Sensors</w:t>
      </w:r>
      <w:r w:rsidRPr="005C5C6B">
        <w:rPr>
          <w:color w:val="000000"/>
        </w:rPr>
        <w:t>,</w:t>
      </w:r>
      <w:r w:rsidRPr="005C5C6B">
        <w:rPr>
          <w:rStyle w:val="apple-converted-space"/>
          <w:rFonts w:eastAsiaTheme="majorEastAsia"/>
          <w:color w:val="000000"/>
        </w:rPr>
        <w:t> </w:t>
      </w:r>
      <w:r w:rsidRPr="005C5C6B">
        <w:rPr>
          <w:i/>
          <w:iCs/>
          <w:color w:val="000000"/>
        </w:rPr>
        <w:t>23</w:t>
      </w:r>
      <w:r w:rsidRPr="005C5C6B">
        <w:rPr>
          <w:color w:val="000000"/>
        </w:rPr>
        <w:t>(9), 4481.</w:t>
      </w:r>
      <w:r w:rsidRPr="005C5C6B">
        <w:rPr>
          <w:rStyle w:val="apple-converted-space"/>
          <w:rFonts w:eastAsiaTheme="majorEastAsia"/>
          <w:color w:val="000000"/>
        </w:rPr>
        <w:t> </w:t>
      </w:r>
      <w:r w:rsidRPr="005C5C6B">
        <w:rPr>
          <w:rStyle w:val="url"/>
          <w:rFonts w:eastAsiaTheme="majorEastAsia"/>
          <w:color w:val="000000"/>
        </w:rPr>
        <w:t>https://doi.org/10.3390/s23094481</w:t>
      </w:r>
    </w:p>
    <w:p w14:paraId="7FCA438A" w14:textId="77777777" w:rsidR="00CA396E" w:rsidRPr="005C5C6B" w:rsidRDefault="00CA396E" w:rsidP="0034607E">
      <w:pPr>
        <w:pStyle w:val="NormalWeb"/>
        <w:spacing w:before="0" w:beforeAutospacing="0" w:after="0" w:afterAutospacing="0" w:line="360" w:lineRule="auto"/>
        <w:ind w:left="720" w:hanging="720"/>
        <w:rPr>
          <w:rFonts w:eastAsiaTheme="majorEastAsia"/>
          <w:color w:val="000000"/>
        </w:rPr>
      </w:pPr>
      <w:r w:rsidRPr="005C5C6B">
        <w:rPr>
          <w:color w:val="000000"/>
        </w:rPr>
        <w:t>Jin, C., He, X., &amp; Ding, X. (2019). Traffic Analysis of LEO Satellite Internet of Things.</w:t>
      </w:r>
      <w:r w:rsidRPr="005C5C6B">
        <w:rPr>
          <w:rStyle w:val="apple-converted-space"/>
          <w:rFonts w:eastAsiaTheme="majorEastAsia"/>
          <w:color w:val="000000"/>
        </w:rPr>
        <w:t> </w:t>
      </w:r>
      <w:r w:rsidRPr="005C5C6B">
        <w:rPr>
          <w:i/>
          <w:iCs/>
          <w:color w:val="000000"/>
        </w:rPr>
        <w:t>2019 15th International Wireless Communications &amp; Mobile Computing Conference (IWCMC)</w:t>
      </w:r>
      <w:r w:rsidRPr="005C5C6B">
        <w:rPr>
          <w:color w:val="000000"/>
        </w:rPr>
        <w:t>.</w:t>
      </w:r>
      <w:r w:rsidRPr="005C5C6B">
        <w:rPr>
          <w:rStyle w:val="apple-converted-space"/>
          <w:rFonts w:eastAsiaTheme="majorEastAsia"/>
          <w:color w:val="000000"/>
        </w:rPr>
        <w:t> </w:t>
      </w:r>
      <w:hyperlink r:id="rId6" w:history="1">
        <w:r w:rsidRPr="005C5C6B">
          <w:rPr>
            <w:rStyle w:val="Hyperlink"/>
            <w:rFonts w:eastAsiaTheme="majorEastAsia"/>
          </w:rPr>
          <w:t>https://doi.org/10.1109/iwcmc.2019.8766604</w:t>
        </w:r>
      </w:hyperlink>
    </w:p>
    <w:p w14:paraId="0D8E1513" w14:textId="77777777" w:rsidR="00CA396E" w:rsidRPr="005C5C6B" w:rsidRDefault="00CA396E" w:rsidP="002568DB">
      <w:pPr>
        <w:pStyle w:val="NormalWeb"/>
        <w:spacing w:before="0" w:beforeAutospacing="0" w:after="0" w:afterAutospacing="0" w:line="360" w:lineRule="auto"/>
        <w:ind w:left="720" w:hanging="720"/>
        <w:rPr>
          <w:rStyle w:val="url"/>
          <w:rFonts w:eastAsiaTheme="majorEastAsia"/>
          <w:color w:val="000000"/>
        </w:rPr>
      </w:pPr>
      <w:r w:rsidRPr="005C5C6B">
        <w:rPr>
          <w:color w:val="000000"/>
        </w:rPr>
        <w:t>Jin, L., Wang, L., Jin, X., Zhu, J., Duan, K., &amp; Li, Z. (2022). Research on the Application of LEO Satellite in IOT.</w:t>
      </w:r>
      <w:r w:rsidRPr="005C5C6B">
        <w:rPr>
          <w:rStyle w:val="apple-converted-space"/>
          <w:rFonts w:eastAsiaTheme="majorEastAsia"/>
          <w:color w:val="000000"/>
        </w:rPr>
        <w:t> </w:t>
      </w:r>
      <w:r w:rsidRPr="005C5C6B">
        <w:rPr>
          <w:i/>
          <w:iCs/>
          <w:color w:val="000000"/>
        </w:rPr>
        <w:t>2022 IEEE 2nd International Conference on Electronic Technology, Communication and Information (ICETCI)</w:t>
      </w:r>
      <w:r w:rsidRPr="005C5C6B">
        <w:rPr>
          <w:color w:val="000000"/>
        </w:rPr>
        <w:t>.</w:t>
      </w:r>
      <w:r w:rsidRPr="005C5C6B">
        <w:rPr>
          <w:rStyle w:val="apple-converted-space"/>
          <w:rFonts w:eastAsiaTheme="majorEastAsia"/>
          <w:color w:val="000000"/>
        </w:rPr>
        <w:t> </w:t>
      </w:r>
      <w:hyperlink r:id="rId7" w:history="1">
        <w:r w:rsidRPr="005C5C6B">
          <w:rPr>
            <w:rStyle w:val="Hyperlink"/>
            <w:rFonts w:eastAsiaTheme="majorEastAsia"/>
          </w:rPr>
          <w:t>https://doi.org/10.1109/icetci55101.2022.9832117</w:t>
        </w:r>
      </w:hyperlink>
      <w:r w:rsidRPr="005C5C6B">
        <w:rPr>
          <w:rStyle w:val="url"/>
          <w:rFonts w:eastAsiaTheme="majorEastAsia"/>
          <w:color w:val="000000"/>
        </w:rPr>
        <w:t xml:space="preserve"> </w:t>
      </w:r>
    </w:p>
    <w:p w14:paraId="0C73808D" w14:textId="031CA2F1" w:rsidR="002568DB" w:rsidRPr="005C5C6B" w:rsidRDefault="002568DB" w:rsidP="002568DB">
      <w:pPr>
        <w:pStyle w:val="NormalWeb"/>
        <w:spacing w:before="0" w:beforeAutospacing="0" w:after="0" w:afterAutospacing="0" w:line="360" w:lineRule="auto"/>
        <w:ind w:left="720" w:hanging="720"/>
        <w:rPr>
          <w:color w:val="000000"/>
        </w:rPr>
      </w:pPr>
      <w:r w:rsidRPr="005859CC">
        <w:rPr>
          <w:rFonts w:eastAsia="PingFang TC"/>
          <w:color w:val="2D3B45"/>
        </w:rPr>
        <w:t xml:space="preserve">Koller, J. S., Thompson, R. C., </w:t>
      </w:r>
      <w:proofErr w:type="spellStart"/>
      <w:r w:rsidRPr="005859CC">
        <w:rPr>
          <w:rFonts w:eastAsia="PingFang TC"/>
          <w:color w:val="2D3B45"/>
        </w:rPr>
        <w:t>Riesbeck</w:t>
      </w:r>
      <w:proofErr w:type="spellEnd"/>
      <w:r w:rsidRPr="005859CC">
        <w:rPr>
          <w:rFonts w:eastAsia="PingFang TC"/>
          <w:color w:val="2D3B45"/>
        </w:rPr>
        <w:t>, L. H., &amp; The Aerospace Corporation. (2020). SPACE AGENDA 2021: LIGHT POLLUTION FROM SATELLITES. In </w:t>
      </w:r>
      <w:r w:rsidRPr="005859CC">
        <w:rPr>
          <w:rFonts w:eastAsia="PingFang TC"/>
          <w:i/>
          <w:iCs/>
          <w:color w:val="2D3B45"/>
        </w:rPr>
        <w:t>CENTER FOR SPACE POLICY AND STRATEGY</w:t>
      </w:r>
      <w:r w:rsidRPr="005859CC">
        <w:rPr>
          <w:rFonts w:eastAsia="PingFang TC"/>
          <w:color w:val="2D3B45"/>
        </w:rPr>
        <w:t>. </w:t>
      </w:r>
      <w:hyperlink r:id="rId8" w:history="1">
        <w:r w:rsidRPr="005859CC">
          <w:rPr>
            <w:rStyle w:val="Hyperlink"/>
            <w:rFonts w:eastAsia="PingFang TC"/>
          </w:rPr>
          <w:t>https://aerospace.org/sites/default/files/2020-10/Koller-Thompson_LightPollution_20201026.pdf</w:t>
        </w:r>
      </w:hyperlink>
    </w:p>
    <w:p w14:paraId="0F2E01F3" w14:textId="40A0FA03" w:rsidR="0034607E" w:rsidRPr="005C5C6B" w:rsidRDefault="0034607E" w:rsidP="002568DB">
      <w:pPr>
        <w:pStyle w:val="NormalWeb"/>
        <w:spacing w:before="0" w:beforeAutospacing="0" w:after="0" w:afterAutospacing="0" w:line="360" w:lineRule="auto"/>
        <w:ind w:left="720" w:hanging="720"/>
        <w:rPr>
          <w:color w:val="000000"/>
        </w:rPr>
      </w:pPr>
      <w:proofErr w:type="spellStart"/>
      <w:r w:rsidRPr="005C5C6B">
        <w:rPr>
          <w:color w:val="000000"/>
        </w:rPr>
        <w:t>Masouris</w:t>
      </w:r>
      <w:proofErr w:type="spellEnd"/>
      <w:r w:rsidRPr="005C5C6B">
        <w:rPr>
          <w:color w:val="000000"/>
        </w:rPr>
        <w:t xml:space="preserve">, I., Kellert, L., Pradhan, C., </w:t>
      </w:r>
      <w:proofErr w:type="spellStart"/>
      <w:r w:rsidRPr="005C5C6B">
        <w:rPr>
          <w:color w:val="000000"/>
        </w:rPr>
        <w:t>Wischmann</w:t>
      </w:r>
      <w:proofErr w:type="spellEnd"/>
      <w:r w:rsidRPr="005C5C6B">
        <w:rPr>
          <w:color w:val="000000"/>
        </w:rPr>
        <w:t xml:space="preserve">, J., </w:t>
      </w:r>
      <w:proofErr w:type="spellStart"/>
      <w:r w:rsidRPr="005C5C6B">
        <w:rPr>
          <w:color w:val="000000"/>
        </w:rPr>
        <w:t>Schniepp</w:t>
      </w:r>
      <w:proofErr w:type="spellEnd"/>
      <w:r w:rsidRPr="005C5C6B">
        <w:rPr>
          <w:color w:val="000000"/>
        </w:rPr>
        <w:t xml:space="preserve">, R., Müller, R., Fuhry, L., Hamann, G. F., Pfefferkorn, T., </w:t>
      </w:r>
      <w:proofErr w:type="spellStart"/>
      <w:r w:rsidRPr="005C5C6B">
        <w:rPr>
          <w:color w:val="000000"/>
        </w:rPr>
        <w:t>Rémi</w:t>
      </w:r>
      <w:proofErr w:type="spellEnd"/>
      <w:r w:rsidRPr="005C5C6B">
        <w:rPr>
          <w:color w:val="000000"/>
        </w:rPr>
        <w:t xml:space="preserve">, J. M., &amp; </w:t>
      </w:r>
      <w:proofErr w:type="spellStart"/>
      <w:r w:rsidRPr="005C5C6B">
        <w:rPr>
          <w:color w:val="000000"/>
        </w:rPr>
        <w:t>Schöberl</w:t>
      </w:r>
      <w:proofErr w:type="spellEnd"/>
      <w:r w:rsidRPr="005C5C6B">
        <w:rPr>
          <w:color w:val="000000"/>
        </w:rPr>
        <w:t xml:space="preserve">, F. (2024). Telemedical stroke care significantly improves patient outcome in rural areas: Long-term analysis </w:t>
      </w:r>
      <w:r w:rsidRPr="005C5C6B">
        <w:rPr>
          <w:color w:val="000000"/>
        </w:rPr>
        <w:lastRenderedPageBreak/>
        <w:t>of the German NEVAS network.</w:t>
      </w:r>
      <w:r w:rsidRPr="005C5C6B">
        <w:rPr>
          <w:rStyle w:val="apple-converted-space"/>
          <w:rFonts w:eastAsiaTheme="majorEastAsia"/>
          <w:color w:val="000000"/>
        </w:rPr>
        <w:t> </w:t>
      </w:r>
      <w:r w:rsidRPr="005C5C6B">
        <w:rPr>
          <w:i/>
          <w:iCs/>
          <w:color w:val="000000"/>
        </w:rPr>
        <w:t>International Journal of Stroke</w:t>
      </w:r>
      <w:r w:rsidRPr="005C5C6B">
        <w:rPr>
          <w:color w:val="000000"/>
        </w:rPr>
        <w:t>.</w:t>
      </w:r>
      <w:r w:rsidRPr="005C5C6B">
        <w:rPr>
          <w:rStyle w:val="apple-converted-space"/>
          <w:rFonts w:eastAsiaTheme="majorEastAsia"/>
          <w:color w:val="000000"/>
        </w:rPr>
        <w:t> </w:t>
      </w:r>
      <w:hyperlink r:id="rId9" w:history="1">
        <w:r w:rsidRPr="005C5C6B">
          <w:rPr>
            <w:rStyle w:val="Hyperlink"/>
            <w:rFonts w:eastAsiaTheme="majorEastAsia"/>
          </w:rPr>
          <w:t>https://doi.org/10.1177/17474930241234259</w:t>
        </w:r>
      </w:hyperlink>
      <w:r w:rsidRPr="005C5C6B">
        <w:rPr>
          <w:rStyle w:val="url"/>
          <w:rFonts w:eastAsiaTheme="majorEastAsia"/>
          <w:color w:val="000000"/>
        </w:rPr>
        <w:t xml:space="preserve"> </w:t>
      </w:r>
    </w:p>
    <w:p w14:paraId="13044CC9" w14:textId="25ED15B4" w:rsidR="0034607E" w:rsidRPr="005C5C6B" w:rsidRDefault="0034607E" w:rsidP="0034607E">
      <w:pPr>
        <w:pStyle w:val="NormalWeb"/>
        <w:spacing w:before="0" w:beforeAutospacing="0" w:after="0" w:afterAutospacing="0" w:line="360" w:lineRule="auto"/>
        <w:ind w:left="720" w:hanging="720"/>
        <w:rPr>
          <w:color w:val="000000"/>
        </w:rPr>
      </w:pPr>
      <w:r w:rsidRPr="005C5C6B">
        <w:rPr>
          <w:color w:val="000000"/>
        </w:rPr>
        <w:t>McGrail, M. R., &amp; Humphreys, J. S. (2009). Geographical classifications to guide rural health policy in Australia.</w:t>
      </w:r>
      <w:r w:rsidRPr="005C5C6B">
        <w:rPr>
          <w:rStyle w:val="apple-converted-space"/>
          <w:rFonts w:eastAsiaTheme="majorEastAsia"/>
          <w:color w:val="000000"/>
        </w:rPr>
        <w:t> </w:t>
      </w:r>
      <w:r w:rsidRPr="005C5C6B">
        <w:rPr>
          <w:i/>
          <w:iCs/>
          <w:color w:val="000000"/>
        </w:rPr>
        <w:t>Australia and New Zealand Health Policy</w:t>
      </w:r>
      <w:r w:rsidRPr="005C5C6B">
        <w:rPr>
          <w:color w:val="000000"/>
        </w:rPr>
        <w:t>,</w:t>
      </w:r>
      <w:r w:rsidRPr="005C5C6B">
        <w:rPr>
          <w:rStyle w:val="apple-converted-space"/>
          <w:rFonts w:eastAsiaTheme="majorEastAsia"/>
          <w:color w:val="000000"/>
        </w:rPr>
        <w:t> </w:t>
      </w:r>
      <w:r w:rsidRPr="005C5C6B">
        <w:rPr>
          <w:i/>
          <w:iCs/>
          <w:color w:val="000000"/>
        </w:rPr>
        <w:t>6</w:t>
      </w:r>
      <w:r w:rsidRPr="005C5C6B">
        <w:rPr>
          <w:color w:val="000000"/>
        </w:rPr>
        <w:t>(1).</w:t>
      </w:r>
      <w:r w:rsidRPr="005C5C6B">
        <w:rPr>
          <w:rStyle w:val="apple-converted-space"/>
          <w:rFonts w:eastAsiaTheme="majorEastAsia"/>
          <w:color w:val="000000"/>
        </w:rPr>
        <w:t> </w:t>
      </w:r>
      <w:hyperlink r:id="rId10" w:history="1">
        <w:r w:rsidRPr="005C5C6B">
          <w:rPr>
            <w:rStyle w:val="Hyperlink"/>
            <w:rFonts w:eastAsiaTheme="majorEastAsia"/>
          </w:rPr>
          <w:t>https://doi.org/10.1186/1743-8462-6-28</w:t>
        </w:r>
      </w:hyperlink>
      <w:r w:rsidRPr="005C5C6B">
        <w:rPr>
          <w:color w:val="000000"/>
        </w:rPr>
        <w:t xml:space="preserve"> </w:t>
      </w:r>
    </w:p>
    <w:p w14:paraId="1ECB2AD5" w14:textId="3DDF18D1" w:rsidR="00CA396E" w:rsidRPr="005C5C6B" w:rsidRDefault="00CA396E" w:rsidP="0034607E">
      <w:pPr>
        <w:pStyle w:val="NormalWeb"/>
        <w:spacing w:before="0" w:beforeAutospacing="0" w:after="0" w:afterAutospacing="0" w:line="360" w:lineRule="auto"/>
        <w:ind w:left="720" w:hanging="720"/>
        <w:rPr>
          <w:color w:val="000000"/>
        </w:rPr>
      </w:pPr>
      <w:r w:rsidRPr="005C5C6B">
        <w:rPr>
          <w:color w:val="000000"/>
        </w:rPr>
        <w:t xml:space="preserve">Qiu, H., </w:t>
      </w:r>
      <w:proofErr w:type="spellStart"/>
      <w:r w:rsidRPr="005C5C6B">
        <w:rPr>
          <w:color w:val="000000"/>
        </w:rPr>
        <w:t>Yuting</w:t>
      </w:r>
      <w:proofErr w:type="spellEnd"/>
      <w:r w:rsidRPr="005C5C6B">
        <w:rPr>
          <w:color w:val="000000"/>
        </w:rPr>
        <w:t>, C., Meng, Y., Fei, W., Yong, Y., Hongwei, Z., &amp; Ni, L. (2023). Research on Reliability Improvement of Power Grid Based on 10kV Distribution Line Cross City Interconnection.</w:t>
      </w:r>
      <w:r w:rsidRPr="005C5C6B">
        <w:rPr>
          <w:rStyle w:val="apple-converted-space"/>
          <w:rFonts w:eastAsiaTheme="majorEastAsia"/>
          <w:color w:val="000000"/>
        </w:rPr>
        <w:t> </w:t>
      </w:r>
      <w:r w:rsidRPr="005C5C6B">
        <w:rPr>
          <w:i/>
          <w:iCs/>
          <w:color w:val="000000"/>
        </w:rPr>
        <w:t>2023 5th International Conference on Electrical Engineering and Control Technologies (CEECT)</w:t>
      </w:r>
      <w:r w:rsidRPr="005C5C6B">
        <w:rPr>
          <w:color w:val="000000"/>
        </w:rPr>
        <w:t>.</w:t>
      </w:r>
      <w:r w:rsidRPr="005C5C6B">
        <w:rPr>
          <w:rStyle w:val="apple-converted-space"/>
          <w:rFonts w:eastAsiaTheme="majorEastAsia"/>
          <w:color w:val="000000"/>
        </w:rPr>
        <w:t> </w:t>
      </w:r>
      <w:r w:rsidRPr="005C5C6B">
        <w:rPr>
          <w:rStyle w:val="url"/>
          <w:rFonts w:eastAsiaTheme="majorEastAsia"/>
          <w:color w:val="000000"/>
        </w:rPr>
        <w:t>https://doi.org/10.1109/ceect59667.2023.10420586</w:t>
      </w:r>
    </w:p>
    <w:p w14:paraId="7336F84E" w14:textId="77777777" w:rsidR="00CA396E" w:rsidRPr="005C5C6B" w:rsidRDefault="00CA396E" w:rsidP="0034607E">
      <w:pPr>
        <w:pStyle w:val="NormalWeb"/>
        <w:spacing w:before="0" w:beforeAutospacing="0" w:after="0" w:afterAutospacing="0" w:line="360" w:lineRule="auto"/>
        <w:ind w:left="720" w:hanging="720"/>
        <w:rPr>
          <w:color w:val="000000"/>
        </w:rPr>
      </w:pPr>
      <w:r w:rsidRPr="005C5C6B">
        <w:rPr>
          <w:color w:val="000000"/>
        </w:rPr>
        <w:t>Su, Y., Liu, Y., Zhou, Y., Yuan, J., Cao, H., &amp; Shi, J. (2019). Broadband LEO Satellite Communications: Architectures and Key Technologies.</w:t>
      </w:r>
      <w:r w:rsidRPr="005C5C6B">
        <w:rPr>
          <w:rStyle w:val="apple-converted-space"/>
          <w:rFonts w:eastAsiaTheme="majorEastAsia"/>
          <w:color w:val="000000"/>
        </w:rPr>
        <w:t> </w:t>
      </w:r>
      <w:r w:rsidRPr="005C5C6B">
        <w:rPr>
          <w:i/>
          <w:iCs/>
          <w:color w:val="000000"/>
        </w:rPr>
        <w:t>IEEE Wireless Communications</w:t>
      </w:r>
      <w:r w:rsidRPr="005C5C6B">
        <w:rPr>
          <w:color w:val="000000"/>
        </w:rPr>
        <w:t>,</w:t>
      </w:r>
      <w:r w:rsidRPr="005C5C6B">
        <w:rPr>
          <w:rStyle w:val="apple-converted-space"/>
          <w:rFonts w:eastAsiaTheme="majorEastAsia"/>
          <w:color w:val="000000"/>
        </w:rPr>
        <w:t> </w:t>
      </w:r>
      <w:r w:rsidRPr="005C5C6B">
        <w:rPr>
          <w:i/>
          <w:iCs/>
          <w:color w:val="000000"/>
        </w:rPr>
        <w:t>26</w:t>
      </w:r>
      <w:r w:rsidRPr="005C5C6B">
        <w:rPr>
          <w:color w:val="000000"/>
        </w:rPr>
        <w:t>(2), 55–61.</w:t>
      </w:r>
      <w:r w:rsidRPr="005C5C6B">
        <w:rPr>
          <w:rStyle w:val="apple-converted-space"/>
          <w:rFonts w:eastAsiaTheme="majorEastAsia"/>
          <w:color w:val="000000"/>
        </w:rPr>
        <w:t> </w:t>
      </w:r>
      <w:r w:rsidRPr="005C5C6B">
        <w:rPr>
          <w:rStyle w:val="url"/>
          <w:rFonts w:eastAsiaTheme="majorEastAsia"/>
          <w:color w:val="000000"/>
        </w:rPr>
        <w:t>https://doi.org/10.1109/mwc.2019.1800299</w:t>
      </w:r>
    </w:p>
    <w:p w14:paraId="1EE0BAC1" w14:textId="77777777" w:rsidR="00CA396E" w:rsidRPr="005C5C6B" w:rsidRDefault="00CA396E" w:rsidP="0034607E">
      <w:pPr>
        <w:pStyle w:val="NormalWeb"/>
        <w:spacing w:before="0" w:beforeAutospacing="0" w:after="0" w:afterAutospacing="0" w:line="360" w:lineRule="auto"/>
        <w:ind w:left="720" w:hanging="720"/>
        <w:rPr>
          <w:color w:val="000000"/>
        </w:rPr>
      </w:pPr>
      <w:r w:rsidRPr="005C5C6B">
        <w:rPr>
          <w:color w:val="000000"/>
        </w:rPr>
        <w:t>Xia, D., Zheng, X., Duan, P., Wang, C., Liu, L., &amp; Ma, H. (2019).</w:t>
      </w:r>
      <w:r w:rsidRPr="005C5C6B">
        <w:rPr>
          <w:rStyle w:val="apple-converted-space"/>
          <w:rFonts w:eastAsiaTheme="majorEastAsia"/>
          <w:color w:val="000000"/>
        </w:rPr>
        <w:t> </w:t>
      </w:r>
      <w:r w:rsidRPr="005C5C6B">
        <w:rPr>
          <w:i/>
          <w:iCs/>
          <w:color w:val="000000"/>
        </w:rPr>
        <w:t>Ground-Station Based Software-Defined LEO Satellite Networks</w:t>
      </w:r>
      <w:r w:rsidRPr="005C5C6B">
        <w:rPr>
          <w:color w:val="000000"/>
        </w:rPr>
        <w:t>.</w:t>
      </w:r>
      <w:r w:rsidRPr="005C5C6B">
        <w:rPr>
          <w:rStyle w:val="apple-converted-space"/>
          <w:rFonts w:eastAsiaTheme="majorEastAsia"/>
          <w:color w:val="000000"/>
        </w:rPr>
        <w:t> </w:t>
      </w:r>
      <w:r w:rsidRPr="005C5C6B">
        <w:rPr>
          <w:rStyle w:val="url"/>
          <w:rFonts w:eastAsiaTheme="majorEastAsia"/>
          <w:color w:val="000000"/>
        </w:rPr>
        <w:t>https://doi.org/10.1109/icpads47876.2019.00102</w:t>
      </w:r>
    </w:p>
    <w:p w14:paraId="2E693FAD" w14:textId="77777777" w:rsidR="00CA396E" w:rsidRPr="005C5C6B" w:rsidRDefault="00CA396E" w:rsidP="0034607E">
      <w:pPr>
        <w:pStyle w:val="NormalWeb"/>
        <w:spacing w:before="0" w:beforeAutospacing="0" w:after="0" w:afterAutospacing="0" w:line="360" w:lineRule="auto"/>
        <w:ind w:left="720" w:hanging="720"/>
        <w:rPr>
          <w:color w:val="000000"/>
        </w:rPr>
      </w:pPr>
      <w:r w:rsidRPr="005C5C6B">
        <w:rPr>
          <w:color w:val="000000"/>
        </w:rPr>
        <w:t>Yue, P., Du, J., Zhang, R., Ding, H., Wang, S., &amp; An, J. (2023). Collaborative LEO Satellites for Secure and Green Internet of Remote Things.</w:t>
      </w:r>
      <w:r w:rsidRPr="005C5C6B">
        <w:rPr>
          <w:rStyle w:val="apple-converted-space"/>
          <w:rFonts w:eastAsiaTheme="majorEastAsia"/>
          <w:color w:val="000000"/>
        </w:rPr>
        <w:t> </w:t>
      </w:r>
      <w:r w:rsidRPr="005C5C6B">
        <w:rPr>
          <w:i/>
          <w:iCs/>
          <w:color w:val="000000"/>
        </w:rPr>
        <w:t>IEEE Internet of Things Journal</w:t>
      </w:r>
      <w:r w:rsidRPr="005C5C6B">
        <w:rPr>
          <w:color w:val="000000"/>
        </w:rPr>
        <w:t>,</w:t>
      </w:r>
      <w:r w:rsidRPr="005C5C6B">
        <w:rPr>
          <w:rStyle w:val="apple-converted-space"/>
          <w:rFonts w:eastAsiaTheme="majorEastAsia"/>
          <w:color w:val="000000"/>
        </w:rPr>
        <w:t> </w:t>
      </w:r>
      <w:r w:rsidRPr="005C5C6B">
        <w:rPr>
          <w:i/>
          <w:iCs/>
          <w:color w:val="000000"/>
        </w:rPr>
        <w:t>10</w:t>
      </w:r>
      <w:r w:rsidRPr="005C5C6B">
        <w:rPr>
          <w:color w:val="000000"/>
        </w:rPr>
        <w:t>(11), 9283–9294.</w:t>
      </w:r>
      <w:r w:rsidRPr="005C5C6B">
        <w:rPr>
          <w:rStyle w:val="apple-converted-space"/>
          <w:rFonts w:eastAsiaTheme="majorEastAsia"/>
          <w:color w:val="000000"/>
        </w:rPr>
        <w:t> </w:t>
      </w:r>
      <w:r w:rsidRPr="005C5C6B">
        <w:rPr>
          <w:rStyle w:val="url"/>
          <w:rFonts w:eastAsiaTheme="majorEastAsia"/>
          <w:color w:val="000000"/>
        </w:rPr>
        <w:t>https://doi.org/10.1109/jiot.2022.3223913</w:t>
      </w:r>
    </w:p>
    <w:p w14:paraId="04668199" w14:textId="40D7CBD6" w:rsidR="00CA396E" w:rsidRPr="005C5C6B" w:rsidRDefault="00CA396E" w:rsidP="0034607E">
      <w:pPr>
        <w:spacing w:line="360" w:lineRule="auto"/>
        <w:rPr>
          <w:rFonts w:ascii="Times New Roman" w:hAnsi="Times New Roman" w:cs="Times New Roman"/>
          <w:sz w:val="22"/>
          <w:szCs w:val="22"/>
        </w:rPr>
      </w:pPr>
    </w:p>
    <w:p w14:paraId="2F9A4826" w14:textId="19C53558" w:rsidR="002568DB" w:rsidRPr="005C5C6B" w:rsidRDefault="002568DB" w:rsidP="0034607E">
      <w:pPr>
        <w:spacing w:line="360" w:lineRule="auto"/>
        <w:rPr>
          <w:rFonts w:ascii="Times New Roman" w:hAnsi="Times New Roman" w:cs="Times New Roman"/>
          <w:i/>
          <w:iCs/>
        </w:rPr>
      </w:pPr>
      <w:r w:rsidRPr="005C5C6B">
        <w:rPr>
          <w:rFonts w:ascii="Times New Roman" w:hAnsi="Times New Roman" w:cs="Times New Roman"/>
          <w:b/>
          <w:bCs/>
          <w:sz w:val="22"/>
          <w:szCs w:val="22"/>
        </w:rPr>
        <w:t> </w:t>
      </w:r>
      <w:r w:rsidRPr="005C5C6B">
        <w:rPr>
          <w:rFonts w:ascii="Times New Roman" w:hAnsi="Times New Roman" w:cs="Times New Roman"/>
          <w:i/>
          <w:iCs/>
        </w:rPr>
        <w:t>Project related outputs</w:t>
      </w:r>
    </w:p>
    <w:p w14:paraId="70BEDB06" w14:textId="2D824190" w:rsidR="002568DB" w:rsidRPr="005C5C6B" w:rsidRDefault="0061593A" w:rsidP="0034607E">
      <w:pPr>
        <w:spacing w:line="360" w:lineRule="auto"/>
        <w:rPr>
          <w:rFonts w:ascii="Times New Roman" w:hAnsi="Times New Roman" w:cs="Times New Roman"/>
          <w:sz w:val="22"/>
          <w:szCs w:val="22"/>
        </w:rPr>
      </w:pPr>
      <w:r w:rsidRPr="005C5C6B">
        <w:rPr>
          <w:rFonts w:ascii="Times New Roman" w:eastAsia="Times New Roman" w:hAnsi="Times New Roman" w:cs="Times New Roman"/>
          <w:noProof/>
          <w:color w:val="2D3B45"/>
          <w:kern w:val="0"/>
        </w:rPr>
        <w:drawing>
          <wp:inline distT="0" distB="0" distL="0" distR="0" wp14:anchorId="7919F472" wp14:editId="17EAB646">
            <wp:extent cx="5731510" cy="1562100"/>
            <wp:effectExtent l="0" t="0" r="0" b="0"/>
            <wp:docPr id="397824825" name="Picture 3" descr="A table of medical rec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24825" name="Picture 3" descr="A table of medical record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562100"/>
                    </a:xfrm>
                    <a:prstGeom prst="rect">
                      <a:avLst/>
                    </a:prstGeom>
                  </pic:spPr>
                </pic:pic>
              </a:graphicData>
            </a:graphic>
          </wp:inline>
        </w:drawing>
      </w:r>
    </w:p>
    <w:p w14:paraId="3EB61CB1" w14:textId="31810367" w:rsidR="0061593A" w:rsidRPr="005C5C6B" w:rsidRDefault="0061593A" w:rsidP="0034607E">
      <w:pPr>
        <w:spacing w:line="360" w:lineRule="auto"/>
        <w:rPr>
          <w:rFonts w:ascii="Times New Roman" w:hAnsi="Times New Roman" w:cs="Times New Roman"/>
          <w:sz w:val="22"/>
          <w:szCs w:val="22"/>
        </w:rPr>
      </w:pPr>
      <w:r w:rsidRPr="005C5C6B">
        <w:rPr>
          <w:rFonts w:ascii="Times New Roman" w:eastAsia="Times New Roman" w:hAnsi="Times New Roman" w:cs="Times New Roman"/>
          <w:noProof/>
          <w:color w:val="2D3B45"/>
          <w:kern w:val="0"/>
        </w:rPr>
        <w:lastRenderedPageBreak/>
        <w:drawing>
          <wp:inline distT="0" distB="0" distL="0" distR="0" wp14:anchorId="3D6C5FE2" wp14:editId="01A7364D">
            <wp:extent cx="5656668" cy="3921312"/>
            <wp:effectExtent l="0" t="0" r="0" b="3175"/>
            <wp:docPr id="89897015" name="Picture 5"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7015" name="Picture 5" descr="A table with numbers and symbol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2765" cy="3953268"/>
                    </a:xfrm>
                    <a:prstGeom prst="rect">
                      <a:avLst/>
                    </a:prstGeom>
                  </pic:spPr>
                </pic:pic>
              </a:graphicData>
            </a:graphic>
          </wp:inline>
        </w:drawing>
      </w:r>
    </w:p>
    <w:p w14:paraId="12671BE1" w14:textId="752DDD1D" w:rsidR="0061593A" w:rsidRPr="005C5C6B" w:rsidRDefault="0061593A" w:rsidP="0034607E">
      <w:pPr>
        <w:spacing w:line="360" w:lineRule="auto"/>
        <w:rPr>
          <w:rFonts w:ascii="Times New Roman" w:hAnsi="Times New Roman" w:cs="Times New Roman"/>
          <w:sz w:val="22"/>
          <w:szCs w:val="22"/>
        </w:rPr>
      </w:pPr>
      <w:r w:rsidRPr="005C5C6B">
        <w:rPr>
          <w:rFonts w:ascii="Times New Roman" w:hAnsi="Times New Roman" w:cs="Times New Roman"/>
          <w:sz w:val="22"/>
          <w:szCs w:val="22"/>
        </w:rPr>
        <w:t>The use of telemedicine for stroke care is shown in the first table. Over time, both patient results and the speed of healthcare delivery have gotten better. The NIHSS score shows that the seriousness of strokes has gone down. This may be because of earlier involvement made easier by technology and better ways for distant hospitals to recognise and treat strokes. The drop in major risk factors like high blood pressure and diabetes suggests better preventative care and ongoing tracking. This may be because people have more regular access to healthcare through online systems. The fact that hospital stays are getting shorter and IVT administration is going up shows that quick action made possible by remote talks works. Overall, this study shows that telemedicine not only sped up reaction times to strokes but also helped improve health management and results in rural hospitals, which don't always have access to specialised stroke care.</w:t>
      </w:r>
      <w:r w:rsidRPr="005C5C6B">
        <w:rPr>
          <w:rFonts w:ascii="Times New Roman" w:hAnsi="Times New Roman" w:cs="Times New Roman"/>
          <w:sz w:val="22"/>
          <w:szCs w:val="22"/>
        </w:rPr>
        <w:t xml:space="preserve"> </w:t>
      </w:r>
      <w:r w:rsidRPr="005C5C6B">
        <w:rPr>
          <w:rFonts w:ascii="Times New Roman" w:hAnsi="Times New Roman" w:cs="Times New Roman"/>
          <w:sz w:val="22"/>
          <w:szCs w:val="22"/>
        </w:rPr>
        <w:t>The second table shows how telemedicine has been used to help people in Manaus who have cleft lip, cleft palate, hand deformities. The numbers show that telemedicine made it possible to check on patients from afar. Most of the patients were babies or young kids, and the focus was on diseases linked to clefts. The benefit of telemedicine can be seen in how medical procedures were prioritised based on how bad the situation was. This made sure that the most serious cases were planned for surgery, even though the area had some physical limits. Because telemedicine made arranging and prioritisation easier, all of the patients who needed surgery were able to get it. This shows how telemedicine helps people in rural places get access to skilled healthcare. Additionally, telemedicine made it easier to help patients of all ages, which made sure that difficult cases like older kids with cleft lip weren't missed.</w:t>
      </w:r>
      <w:r w:rsidRPr="005C5C6B">
        <w:rPr>
          <w:rFonts w:ascii="Times New Roman" w:hAnsi="Times New Roman" w:cs="Times New Roman"/>
          <w:sz w:val="22"/>
          <w:szCs w:val="22"/>
        </w:rPr>
        <w:t xml:space="preserve"> </w:t>
      </w:r>
    </w:p>
    <w:p w14:paraId="44979710" w14:textId="6BFDAB6D" w:rsidR="0061593A" w:rsidRPr="005C5C6B" w:rsidRDefault="0061593A" w:rsidP="0034607E">
      <w:pPr>
        <w:spacing w:line="360" w:lineRule="auto"/>
        <w:rPr>
          <w:rFonts w:ascii="Times New Roman" w:hAnsi="Times New Roman" w:cs="Times New Roman"/>
          <w:sz w:val="22"/>
          <w:szCs w:val="22"/>
        </w:rPr>
      </w:pPr>
      <w:r w:rsidRPr="005C5C6B">
        <w:rPr>
          <w:rFonts w:ascii="Times New Roman" w:hAnsi="Times New Roman" w:cs="Times New Roman"/>
          <w:sz w:val="22"/>
          <w:szCs w:val="22"/>
        </w:rPr>
        <w:lastRenderedPageBreak/>
        <w:t>To sum up, b</w:t>
      </w:r>
      <w:r w:rsidRPr="005C5C6B">
        <w:rPr>
          <w:rFonts w:ascii="Times New Roman" w:hAnsi="Times New Roman" w:cs="Times New Roman"/>
          <w:sz w:val="22"/>
          <w:szCs w:val="22"/>
        </w:rPr>
        <w:t>oth tables show how telemedicine improves access to specialised care, but they do so in very different situations: emergency stroke care and planned corrected surgery. In both cases, telemedicine made it possible for experts to help quickly, but its effects were different depending on the medical needs. For stroke care, telemedicine allowed for quick, real-time choices that helped people get better faster and lowered their risk of dying.</w:t>
      </w:r>
      <w:r w:rsidRPr="005C5C6B">
        <w:rPr>
          <w:rFonts w:ascii="Times New Roman" w:hAnsi="Times New Roman" w:cs="Times New Roman"/>
          <w:sz w:val="22"/>
          <w:szCs w:val="22"/>
        </w:rPr>
        <w:t xml:space="preserve"> As a result, t</w:t>
      </w:r>
      <w:r w:rsidRPr="005C5C6B">
        <w:rPr>
          <w:rFonts w:ascii="Times New Roman" w:hAnsi="Times New Roman" w:cs="Times New Roman"/>
          <w:sz w:val="22"/>
          <w:szCs w:val="22"/>
        </w:rPr>
        <w:t xml:space="preserve">elemedicine </w:t>
      </w:r>
      <w:r w:rsidRPr="005C5C6B">
        <w:rPr>
          <w:rFonts w:ascii="Times New Roman" w:hAnsi="Times New Roman" w:cs="Times New Roman"/>
          <w:sz w:val="22"/>
          <w:szCs w:val="22"/>
        </w:rPr>
        <w:t>is</w:t>
      </w:r>
      <w:r w:rsidRPr="005C5C6B">
        <w:rPr>
          <w:rFonts w:ascii="Times New Roman" w:hAnsi="Times New Roman" w:cs="Times New Roman"/>
          <w:sz w:val="22"/>
          <w:szCs w:val="22"/>
        </w:rPr>
        <w:t xml:space="preserve"> very helpful for planning and carrying out treatments for people with cleft lip and palate, especially in places </w:t>
      </w:r>
      <w:proofErr w:type="gramStart"/>
      <w:r w:rsidRPr="005C5C6B">
        <w:rPr>
          <w:rFonts w:ascii="Times New Roman" w:hAnsi="Times New Roman" w:cs="Times New Roman"/>
          <w:sz w:val="22"/>
          <w:szCs w:val="22"/>
        </w:rPr>
        <w:t>where</w:t>
      </w:r>
      <w:proofErr w:type="gramEnd"/>
      <w:r w:rsidRPr="005C5C6B">
        <w:rPr>
          <w:rFonts w:ascii="Times New Roman" w:hAnsi="Times New Roman" w:cs="Times New Roman"/>
          <w:sz w:val="22"/>
          <w:szCs w:val="22"/>
        </w:rPr>
        <w:t xml:space="preserve"> getting to experts would have taken too long or not been possible at all.</w:t>
      </w:r>
      <w:r w:rsidRPr="005C5C6B">
        <w:rPr>
          <w:rFonts w:ascii="Times New Roman" w:hAnsi="Times New Roman" w:cs="Times New Roman"/>
          <w:sz w:val="22"/>
          <w:szCs w:val="22"/>
        </w:rPr>
        <w:t xml:space="preserve"> </w:t>
      </w:r>
    </w:p>
    <w:p w14:paraId="1F1D6647" w14:textId="77777777" w:rsidR="0061593A" w:rsidRPr="005C5C6B" w:rsidRDefault="0061593A" w:rsidP="0034607E">
      <w:pPr>
        <w:spacing w:line="360" w:lineRule="auto"/>
        <w:rPr>
          <w:rFonts w:ascii="Times New Roman" w:hAnsi="Times New Roman" w:cs="Times New Roman"/>
          <w:sz w:val="22"/>
          <w:szCs w:val="22"/>
        </w:rPr>
      </w:pPr>
    </w:p>
    <w:sectPr w:rsidR="0061593A" w:rsidRPr="005C5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ingFang TC">
    <w:panose1 w:val="020B0400000000000000"/>
    <w:charset w:val="88"/>
    <w:family w:val="swiss"/>
    <w:pitch w:val="variable"/>
    <w:sig w:usb0="A00002FF" w:usb1="7ACFFDFB" w:usb2="00000017"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6E"/>
    <w:rsid w:val="002568DB"/>
    <w:rsid w:val="0034607E"/>
    <w:rsid w:val="00370CEB"/>
    <w:rsid w:val="005C5C6B"/>
    <w:rsid w:val="0061593A"/>
    <w:rsid w:val="006D0B18"/>
    <w:rsid w:val="00CA396E"/>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F792BE2"/>
  <w15:chartTrackingRefBased/>
  <w15:docId w15:val="{127B1339-B0CA-D64A-8A61-61A7A8FF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9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9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9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9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9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9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9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9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9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9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9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9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9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9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9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9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9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96E"/>
    <w:rPr>
      <w:rFonts w:eastAsiaTheme="majorEastAsia" w:cstheme="majorBidi"/>
      <w:color w:val="272727" w:themeColor="text1" w:themeTint="D8"/>
    </w:rPr>
  </w:style>
  <w:style w:type="paragraph" w:styleId="Title">
    <w:name w:val="Title"/>
    <w:basedOn w:val="Normal"/>
    <w:next w:val="Normal"/>
    <w:link w:val="TitleChar"/>
    <w:uiPriority w:val="10"/>
    <w:qFormat/>
    <w:rsid w:val="00CA3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9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9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9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96E"/>
    <w:pPr>
      <w:spacing w:before="160"/>
      <w:jc w:val="center"/>
    </w:pPr>
    <w:rPr>
      <w:i/>
      <w:iCs/>
      <w:color w:val="404040" w:themeColor="text1" w:themeTint="BF"/>
    </w:rPr>
  </w:style>
  <w:style w:type="character" w:customStyle="1" w:styleId="QuoteChar">
    <w:name w:val="Quote Char"/>
    <w:basedOn w:val="DefaultParagraphFont"/>
    <w:link w:val="Quote"/>
    <w:uiPriority w:val="29"/>
    <w:rsid w:val="00CA396E"/>
    <w:rPr>
      <w:i/>
      <w:iCs/>
      <w:color w:val="404040" w:themeColor="text1" w:themeTint="BF"/>
    </w:rPr>
  </w:style>
  <w:style w:type="paragraph" w:styleId="ListParagraph">
    <w:name w:val="List Paragraph"/>
    <w:basedOn w:val="Normal"/>
    <w:uiPriority w:val="34"/>
    <w:qFormat/>
    <w:rsid w:val="00CA396E"/>
    <w:pPr>
      <w:ind w:left="720"/>
      <w:contextualSpacing/>
    </w:pPr>
  </w:style>
  <w:style w:type="character" w:styleId="IntenseEmphasis">
    <w:name w:val="Intense Emphasis"/>
    <w:basedOn w:val="DefaultParagraphFont"/>
    <w:uiPriority w:val="21"/>
    <w:qFormat/>
    <w:rsid w:val="00CA396E"/>
    <w:rPr>
      <w:i/>
      <w:iCs/>
      <w:color w:val="0F4761" w:themeColor="accent1" w:themeShade="BF"/>
    </w:rPr>
  </w:style>
  <w:style w:type="paragraph" w:styleId="IntenseQuote">
    <w:name w:val="Intense Quote"/>
    <w:basedOn w:val="Normal"/>
    <w:next w:val="Normal"/>
    <w:link w:val="IntenseQuoteChar"/>
    <w:uiPriority w:val="30"/>
    <w:qFormat/>
    <w:rsid w:val="00CA3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96E"/>
    <w:rPr>
      <w:i/>
      <w:iCs/>
      <w:color w:val="0F4761" w:themeColor="accent1" w:themeShade="BF"/>
    </w:rPr>
  </w:style>
  <w:style w:type="character" w:styleId="IntenseReference">
    <w:name w:val="Intense Reference"/>
    <w:basedOn w:val="DefaultParagraphFont"/>
    <w:uiPriority w:val="32"/>
    <w:qFormat/>
    <w:rsid w:val="00CA396E"/>
    <w:rPr>
      <w:b/>
      <w:bCs/>
      <w:smallCaps/>
      <w:color w:val="0F4761" w:themeColor="accent1" w:themeShade="BF"/>
      <w:spacing w:val="5"/>
    </w:rPr>
  </w:style>
  <w:style w:type="character" w:styleId="Hyperlink">
    <w:name w:val="Hyperlink"/>
    <w:basedOn w:val="DefaultParagraphFont"/>
    <w:uiPriority w:val="99"/>
    <w:unhideWhenUsed/>
    <w:rsid w:val="00CA396E"/>
    <w:rPr>
      <w:color w:val="467886" w:themeColor="hyperlink"/>
      <w:u w:val="single"/>
    </w:rPr>
  </w:style>
  <w:style w:type="character" w:styleId="UnresolvedMention">
    <w:name w:val="Unresolved Mention"/>
    <w:basedOn w:val="DefaultParagraphFont"/>
    <w:uiPriority w:val="99"/>
    <w:semiHidden/>
    <w:unhideWhenUsed/>
    <w:rsid w:val="00CA396E"/>
    <w:rPr>
      <w:color w:val="605E5C"/>
      <w:shd w:val="clear" w:color="auto" w:fill="E1DFDD"/>
    </w:rPr>
  </w:style>
  <w:style w:type="paragraph" w:styleId="NormalWeb">
    <w:name w:val="Normal (Web)"/>
    <w:basedOn w:val="Normal"/>
    <w:uiPriority w:val="99"/>
    <w:unhideWhenUsed/>
    <w:rsid w:val="00CA396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CA396E"/>
  </w:style>
  <w:style w:type="character" w:customStyle="1" w:styleId="url">
    <w:name w:val="url"/>
    <w:basedOn w:val="DefaultParagraphFont"/>
    <w:rsid w:val="00CA396E"/>
  </w:style>
  <w:style w:type="character" w:styleId="FollowedHyperlink">
    <w:name w:val="FollowedHyperlink"/>
    <w:basedOn w:val="DefaultParagraphFont"/>
    <w:uiPriority w:val="99"/>
    <w:semiHidden/>
    <w:unhideWhenUsed/>
    <w:rsid w:val="002568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985295">
      <w:bodyDiv w:val="1"/>
      <w:marLeft w:val="0"/>
      <w:marRight w:val="0"/>
      <w:marTop w:val="0"/>
      <w:marBottom w:val="0"/>
      <w:divBdr>
        <w:top w:val="none" w:sz="0" w:space="0" w:color="auto"/>
        <w:left w:val="none" w:sz="0" w:space="0" w:color="auto"/>
        <w:bottom w:val="none" w:sz="0" w:space="0" w:color="auto"/>
        <w:right w:val="none" w:sz="0" w:space="0" w:color="auto"/>
      </w:divBdr>
      <w:divsChild>
        <w:div w:id="1780182681">
          <w:marLeft w:val="-720"/>
          <w:marRight w:val="0"/>
          <w:marTop w:val="0"/>
          <w:marBottom w:val="0"/>
          <w:divBdr>
            <w:top w:val="none" w:sz="0" w:space="0" w:color="auto"/>
            <w:left w:val="none" w:sz="0" w:space="0" w:color="auto"/>
            <w:bottom w:val="none" w:sz="0" w:space="0" w:color="auto"/>
            <w:right w:val="none" w:sz="0" w:space="0" w:color="auto"/>
          </w:divBdr>
        </w:div>
      </w:divsChild>
    </w:div>
    <w:div w:id="536894863">
      <w:bodyDiv w:val="1"/>
      <w:marLeft w:val="0"/>
      <w:marRight w:val="0"/>
      <w:marTop w:val="0"/>
      <w:marBottom w:val="0"/>
      <w:divBdr>
        <w:top w:val="none" w:sz="0" w:space="0" w:color="auto"/>
        <w:left w:val="none" w:sz="0" w:space="0" w:color="auto"/>
        <w:bottom w:val="none" w:sz="0" w:space="0" w:color="auto"/>
        <w:right w:val="none" w:sz="0" w:space="0" w:color="auto"/>
      </w:divBdr>
      <w:divsChild>
        <w:div w:id="1713310515">
          <w:marLeft w:val="-720"/>
          <w:marRight w:val="0"/>
          <w:marTop w:val="0"/>
          <w:marBottom w:val="0"/>
          <w:divBdr>
            <w:top w:val="none" w:sz="0" w:space="0" w:color="auto"/>
            <w:left w:val="none" w:sz="0" w:space="0" w:color="auto"/>
            <w:bottom w:val="none" w:sz="0" w:space="0" w:color="auto"/>
            <w:right w:val="none" w:sz="0" w:space="0" w:color="auto"/>
          </w:divBdr>
        </w:div>
      </w:divsChild>
    </w:div>
    <w:div w:id="691221634">
      <w:bodyDiv w:val="1"/>
      <w:marLeft w:val="0"/>
      <w:marRight w:val="0"/>
      <w:marTop w:val="0"/>
      <w:marBottom w:val="0"/>
      <w:divBdr>
        <w:top w:val="none" w:sz="0" w:space="0" w:color="auto"/>
        <w:left w:val="none" w:sz="0" w:space="0" w:color="auto"/>
        <w:bottom w:val="none" w:sz="0" w:space="0" w:color="auto"/>
        <w:right w:val="none" w:sz="0" w:space="0" w:color="auto"/>
      </w:divBdr>
      <w:divsChild>
        <w:div w:id="1449157433">
          <w:marLeft w:val="-720"/>
          <w:marRight w:val="0"/>
          <w:marTop w:val="0"/>
          <w:marBottom w:val="0"/>
          <w:divBdr>
            <w:top w:val="none" w:sz="0" w:space="0" w:color="auto"/>
            <w:left w:val="none" w:sz="0" w:space="0" w:color="auto"/>
            <w:bottom w:val="none" w:sz="0" w:space="0" w:color="auto"/>
            <w:right w:val="none" w:sz="0" w:space="0" w:color="auto"/>
          </w:divBdr>
        </w:div>
      </w:divsChild>
    </w:div>
    <w:div w:id="875969231">
      <w:bodyDiv w:val="1"/>
      <w:marLeft w:val="0"/>
      <w:marRight w:val="0"/>
      <w:marTop w:val="0"/>
      <w:marBottom w:val="0"/>
      <w:divBdr>
        <w:top w:val="none" w:sz="0" w:space="0" w:color="auto"/>
        <w:left w:val="none" w:sz="0" w:space="0" w:color="auto"/>
        <w:bottom w:val="none" w:sz="0" w:space="0" w:color="auto"/>
        <w:right w:val="none" w:sz="0" w:space="0" w:color="auto"/>
      </w:divBdr>
      <w:divsChild>
        <w:div w:id="108166221">
          <w:marLeft w:val="-720"/>
          <w:marRight w:val="0"/>
          <w:marTop w:val="0"/>
          <w:marBottom w:val="0"/>
          <w:divBdr>
            <w:top w:val="none" w:sz="0" w:space="0" w:color="auto"/>
            <w:left w:val="none" w:sz="0" w:space="0" w:color="auto"/>
            <w:bottom w:val="none" w:sz="0" w:space="0" w:color="auto"/>
            <w:right w:val="none" w:sz="0" w:space="0" w:color="auto"/>
          </w:divBdr>
        </w:div>
      </w:divsChild>
    </w:div>
    <w:div w:id="901713686">
      <w:bodyDiv w:val="1"/>
      <w:marLeft w:val="0"/>
      <w:marRight w:val="0"/>
      <w:marTop w:val="0"/>
      <w:marBottom w:val="0"/>
      <w:divBdr>
        <w:top w:val="none" w:sz="0" w:space="0" w:color="auto"/>
        <w:left w:val="none" w:sz="0" w:space="0" w:color="auto"/>
        <w:bottom w:val="none" w:sz="0" w:space="0" w:color="auto"/>
        <w:right w:val="none" w:sz="0" w:space="0" w:color="auto"/>
      </w:divBdr>
      <w:divsChild>
        <w:div w:id="2003384102">
          <w:marLeft w:val="-720"/>
          <w:marRight w:val="0"/>
          <w:marTop w:val="0"/>
          <w:marBottom w:val="0"/>
          <w:divBdr>
            <w:top w:val="none" w:sz="0" w:space="0" w:color="auto"/>
            <w:left w:val="none" w:sz="0" w:space="0" w:color="auto"/>
            <w:bottom w:val="none" w:sz="0" w:space="0" w:color="auto"/>
            <w:right w:val="none" w:sz="0" w:space="0" w:color="auto"/>
          </w:divBdr>
        </w:div>
      </w:divsChild>
    </w:div>
    <w:div w:id="1278373024">
      <w:bodyDiv w:val="1"/>
      <w:marLeft w:val="0"/>
      <w:marRight w:val="0"/>
      <w:marTop w:val="0"/>
      <w:marBottom w:val="0"/>
      <w:divBdr>
        <w:top w:val="none" w:sz="0" w:space="0" w:color="auto"/>
        <w:left w:val="none" w:sz="0" w:space="0" w:color="auto"/>
        <w:bottom w:val="none" w:sz="0" w:space="0" w:color="auto"/>
        <w:right w:val="none" w:sz="0" w:space="0" w:color="auto"/>
      </w:divBdr>
      <w:divsChild>
        <w:div w:id="681668074">
          <w:marLeft w:val="-720"/>
          <w:marRight w:val="0"/>
          <w:marTop w:val="0"/>
          <w:marBottom w:val="0"/>
          <w:divBdr>
            <w:top w:val="none" w:sz="0" w:space="0" w:color="auto"/>
            <w:left w:val="none" w:sz="0" w:space="0" w:color="auto"/>
            <w:bottom w:val="none" w:sz="0" w:space="0" w:color="auto"/>
            <w:right w:val="none" w:sz="0" w:space="0" w:color="auto"/>
          </w:divBdr>
        </w:div>
      </w:divsChild>
    </w:div>
    <w:div w:id="1378436718">
      <w:bodyDiv w:val="1"/>
      <w:marLeft w:val="0"/>
      <w:marRight w:val="0"/>
      <w:marTop w:val="0"/>
      <w:marBottom w:val="0"/>
      <w:divBdr>
        <w:top w:val="none" w:sz="0" w:space="0" w:color="auto"/>
        <w:left w:val="none" w:sz="0" w:space="0" w:color="auto"/>
        <w:bottom w:val="none" w:sz="0" w:space="0" w:color="auto"/>
        <w:right w:val="none" w:sz="0" w:space="0" w:color="auto"/>
      </w:divBdr>
      <w:divsChild>
        <w:div w:id="1622495723">
          <w:marLeft w:val="-720"/>
          <w:marRight w:val="0"/>
          <w:marTop w:val="0"/>
          <w:marBottom w:val="0"/>
          <w:divBdr>
            <w:top w:val="none" w:sz="0" w:space="0" w:color="auto"/>
            <w:left w:val="none" w:sz="0" w:space="0" w:color="auto"/>
            <w:bottom w:val="none" w:sz="0" w:space="0" w:color="auto"/>
            <w:right w:val="none" w:sz="0" w:space="0" w:color="auto"/>
          </w:divBdr>
        </w:div>
      </w:divsChild>
    </w:div>
    <w:div w:id="1393961264">
      <w:bodyDiv w:val="1"/>
      <w:marLeft w:val="0"/>
      <w:marRight w:val="0"/>
      <w:marTop w:val="0"/>
      <w:marBottom w:val="0"/>
      <w:divBdr>
        <w:top w:val="none" w:sz="0" w:space="0" w:color="auto"/>
        <w:left w:val="none" w:sz="0" w:space="0" w:color="auto"/>
        <w:bottom w:val="none" w:sz="0" w:space="0" w:color="auto"/>
        <w:right w:val="none" w:sz="0" w:space="0" w:color="auto"/>
      </w:divBdr>
      <w:divsChild>
        <w:div w:id="2108845302">
          <w:marLeft w:val="-720"/>
          <w:marRight w:val="0"/>
          <w:marTop w:val="0"/>
          <w:marBottom w:val="0"/>
          <w:divBdr>
            <w:top w:val="none" w:sz="0" w:space="0" w:color="auto"/>
            <w:left w:val="none" w:sz="0" w:space="0" w:color="auto"/>
            <w:bottom w:val="none" w:sz="0" w:space="0" w:color="auto"/>
            <w:right w:val="none" w:sz="0" w:space="0" w:color="auto"/>
          </w:divBdr>
        </w:div>
      </w:divsChild>
    </w:div>
    <w:div w:id="1871793325">
      <w:bodyDiv w:val="1"/>
      <w:marLeft w:val="0"/>
      <w:marRight w:val="0"/>
      <w:marTop w:val="0"/>
      <w:marBottom w:val="0"/>
      <w:divBdr>
        <w:top w:val="none" w:sz="0" w:space="0" w:color="auto"/>
        <w:left w:val="none" w:sz="0" w:space="0" w:color="auto"/>
        <w:bottom w:val="none" w:sz="0" w:space="0" w:color="auto"/>
        <w:right w:val="none" w:sz="0" w:space="0" w:color="auto"/>
      </w:divBdr>
      <w:divsChild>
        <w:div w:id="2074063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erospace.org/sites/default/files/2020-10/Koller-Thompson_LightPollution_20201026.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109/icetci55101.2022.9832117"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iwcmc.2019.8766604" TargetMode="External"/><Relationship Id="rId11" Type="http://schemas.openxmlformats.org/officeDocument/2006/relationships/image" Target="media/image1.png"/><Relationship Id="rId5" Type="http://schemas.openxmlformats.org/officeDocument/2006/relationships/hyperlink" Target="https://doi.org/10.1109/access.2021.3104098" TargetMode="External"/><Relationship Id="rId10" Type="http://schemas.openxmlformats.org/officeDocument/2006/relationships/hyperlink" Target="https://doi.org/10.1186/1743-8462-6-28" TargetMode="External"/><Relationship Id="rId4" Type="http://schemas.openxmlformats.org/officeDocument/2006/relationships/hyperlink" Target="https://doi.org/10.1109/mcom.001.2100795" TargetMode="External"/><Relationship Id="rId9" Type="http://schemas.openxmlformats.org/officeDocument/2006/relationships/hyperlink" Target="https://doi.org/10.1177/1747493024123425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Chen</dc:creator>
  <cp:keywords/>
  <dc:description/>
  <cp:lastModifiedBy>Carla Chen</cp:lastModifiedBy>
  <cp:revision>2</cp:revision>
  <dcterms:created xsi:type="dcterms:W3CDTF">2024-10-22T10:10:00Z</dcterms:created>
  <dcterms:modified xsi:type="dcterms:W3CDTF">2024-10-22T11:16:00Z</dcterms:modified>
</cp:coreProperties>
</file>