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374BD" w14:textId="77777777" w:rsidR="006C7098" w:rsidRPr="00DE1D73" w:rsidRDefault="006C7098" w:rsidP="006C7098">
      <w:pPr>
        <w:pStyle w:val="Header"/>
        <w:jc w:val="center"/>
        <w:rPr>
          <w:b/>
          <w:bCs/>
        </w:rPr>
      </w:pPr>
      <w:bookmarkStart w:id="0" w:name="1._Objetivo_General_"/>
      <w:bookmarkEnd w:id="0"/>
      <w:r w:rsidRPr="00DE1D73">
        <w:rPr>
          <w:b/>
          <w:bCs/>
        </w:rPr>
        <w:t>Universidad San Francisco de Quito</w:t>
      </w:r>
    </w:p>
    <w:p w14:paraId="6852232A" w14:textId="77777777" w:rsidR="006C7098" w:rsidRPr="00DE1D73" w:rsidRDefault="006C7098" w:rsidP="006C7098">
      <w:pPr>
        <w:pStyle w:val="Header"/>
        <w:jc w:val="center"/>
        <w:rPr>
          <w:b/>
          <w:bCs/>
        </w:rPr>
      </w:pPr>
      <w:r w:rsidRPr="00DE1D73">
        <w:rPr>
          <w:b/>
          <w:bCs/>
        </w:rPr>
        <w:t>Maestría en Ciencia de Datos</w:t>
      </w:r>
    </w:p>
    <w:p w14:paraId="321BFE6B" w14:textId="68B173E7" w:rsidR="006C7098" w:rsidRDefault="006C7098" w:rsidP="006C7098">
      <w:pPr>
        <w:pStyle w:val="Header"/>
        <w:jc w:val="center"/>
        <w:rPr>
          <w:b/>
          <w:bCs/>
        </w:rPr>
      </w:pPr>
      <w:r w:rsidRPr="00DE1D73">
        <w:rPr>
          <w:b/>
          <w:bCs/>
        </w:rPr>
        <w:t>Fundamentos de Ciencia de Datos</w:t>
      </w:r>
      <w:r>
        <w:rPr>
          <w:b/>
          <w:bCs/>
        </w:rPr>
        <w:t xml:space="preserve"> </w:t>
      </w:r>
    </w:p>
    <w:p w14:paraId="7A966EC7" w14:textId="77777777" w:rsidR="006C7098" w:rsidRDefault="006C7098" w:rsidP="006C7098">
      <w:pPr>
        <w:pStyle w:val="Heading1"/>
        <w:tabs>
          <w:tab w:val="left" w:pos="376"/>
        </w:tabs>
        <w:spacing w:before="60"/>
        <w:rPr>
          <w:sz w:val="24"/>
          <w:szCs w:val="24"/>
        </w:rPr>
      </w:pPr>
    </w:p>
    <w:p w14:paraId="33CDFD19" w14:textId="6CF07930" w:rsidR="006C7098" w:rsidRDefault="00411568" w:rsidP="006C7098">
      <w:pPr>
        <w:pStyle w:val="Heading1"/>
        <w:tabs>
          <w:tab w:val="left" w:pos="376"/>
        </w:tabs>
        <w:spacing w:before="60"/>
        <w:ind w:left="-1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Informe Proyecto 1</w:t>
      </w:r>
    </w:p>
    <w:p w14:paraId="00475EF1" w14:textId="198E849C" w:rsidR="00721282" w:rsidRPr="006C7098" w:rsidRDefault="00000000" w:rsidP="006C7098">
      <w:pPr>
        <w:pStyle w:val="Heading1"/>
        <w:numPr>
          <w:ilvl w:val="0"/>
          <w:numId w:val="21"/>
        </w:numPr>
        <w:tabs>
          <w:tab w:val="left" w:pos="376"/>
        </w:tabs>
        <w:spacing w:before="60"/>
        <w:rPr>
          <w:sz w:val="24"/>
          <w:szCs w:val="24"/>
        </w:rPr>
      </w:pPr>
      <w:r w:rsidRPr="006C7098">
        <w:rPr>
          <w:sz w:val="24"/>
          <w:szCs w:val="24"/>
        </w:rPr>
        <w:t>Objetivo</w:t>
      </w:r>
      <w:r w:rsidRPr="006C7098">
        <w:rPr>
          <w:spacing w:val="-8"/>
          <w:sz w:val="24"/>
          <w:szCs w:val="24"/>
        </w:rPr>
        <w:t xml:space="preserve"> </w:t>
      </w:r>
      <w:r w:rsidRPr="006C7098">
        <w:rPr>
          <w:spacing w:val="-2"/>
          <w:sz w:val="24"/>
          <w:szCs w:val="24"/>
        </w:rPr>
        <w:t>General</w:t>
      </w:r>
    </w:p>
    <w:p w14:paraId="685FFEB9" w14:textId="77777777" w:rsidR="006C7098" w:rsidRPr="006C7098" w:rsidRDefault="006C7098" w:rsidP="006C7098">
      <w:pPr>
        <w:pStyle w:val="Heading1"/>
        <w:tabs>
          <w:tab w:val="left" w:pos="376"/>
        </w:tabs>
        <w:spacing w:before="60"/>
        <w:ind w:firstLine="0"/>
        <w:rPr>
          <w:sz w:val="24"/>
          <w:szCs w:val="24"/>
        </w:rPr>
      </w:pPr>
    </w:p>
    <w:p w14:paraId="515A429F" w14:textId="793A146E" w:rsidR="00DE1D73" w:rsidRDefault="00DE1D73" w:rsidP="00721282">
      <w:r w:rsidRPr="00721282">
        <w:rPr>
          <w:b/>
          <w:bCs/>
        </w:rPr>
        <w:t>Tema del proyecto:</w:t>
      </w:r>
      <w:r>
        <w:t xml:space="preserve"> </w:t>
      </w:r>
      <w:r w:rsidRPr="00DE1D73">
        <w:t xml:space="preserve">“Factores determinantes de la inclusión financiera de mujeres en América Latina: Un análisis basado en </w:t>
      </w:r>
      <w:r w:rsidR="006C7098">
        <w:t xml:space="preserve">la </w:t>
      </w:r>
      <w:r w:rsidRPr="00DE1D73">
        <w:t>base WWBI del Banco Mundial</w:t>
      </w:r>
      <w:r w:rsidR="006C7098">
        <w:t xml:space="preserve"> </w:t>
      </w:r>
      <w:proofErr w:type="spellStart"/>
      <w:r w:rsidR="006C7098" w:rsidRPr="006C7098">
        <w:t>Introducing</w:t>
      </w:r>
      <w:proofErr w:type="spellEnd"/>
      <w:r w:rsidR="006C7098" w:rsidRPr="006C7098">
        <w:t xml:space="preserve"> </w:t>
      </w:r>
      <w:proofErr w:type="spellStart"/>
      <w:r w:rsidR="006C7098" w:rsidRPr="006C7098">
        <w:t>the</w:t>
      </w:r>
      <w:proofErr w:type="spellEnd"/>
      <w:r w:rsidR="006C7098" w:rsidRPr="006C7098">
        <w:t xml:space="preserve"> </w:t>
      </w:r>
      <w:proofErr w:type="spellStart"/>
      <w:r w:rsidR="006C7098" w:rsidRPr="006C7098">
        <w:t>Worldwide</w:t>
      </w:r>
      <w:proofErr w:type="spellEnd"/>
      <w:r w:rsidR="006C7098" w:rsidRPr="006C7098">
        <w:t xml:space="preserve"> </w:t>
      </w:r>
      <w:proofErr w:type="spellStart"/>
      <w:r w:rsidR="006C7098" w:rsidRPr="006C7098">
        <w:t>Bureaucracy</w:t>
      </w:r>
      <w:proofErr w:type="spellEnd"/>
      <w:r w:rsidR="006C7098" w:rsidRPr="006C7098">
        <w:t xml:space="preserve"> </w:t>
      </w:r>
      <w:proofErr w:type="spellStart"/>
      <w:r w:rsidR="006C7098" w:rsidRPr="006C7098">
        <w:t>Indicators</w:t>
      </w:r>
      <w:proofErr w:type="spellEnd"/>
      <w:r w:rsidRPr="00DE1D73">
        <w:t>”</w:t>
      </w:r>
      <w:r w:rsidR="00721282">
        <w:t>.</w:t>
      </w:r>
    </w:p>
    <w:p w14:paraId="1655D749" w14:textId="77777777" w:rsidR="00721282" w:rsidRDefault="00721282" w:rsidP="00721282"/>
    <w:p w14:paraId="47C467CE" w14:textId="21F5A4AB" w:rsidR="00721282" w:rsidRDefault="00721282" w:rsidP="00721282">
      <w:pPr>
        <w:pStyle w:val="ListParagraph"/>
        <w:numPr>
          <w:ilvl w:val="1"/>
          <w:numId w:val="18"/>
        </w:numPr>
        <w:rPr>
          <w:b/>
          <w:bCs/>
        </w:rPr>
      </w:pPr>
      <w:r w:rsidRPr="00721282">
        <w:rPr>
          <w:b/>
          <w:bCs/>
        </w:rPr>
        <w:t>Relevancia del proyecto:</w:t>
      </w:r>
    </w:p>
    <w:p w14:paraId="0890078B" w14:textId="77777777" w:rsidR="00721282" w:rsidRPr="00721282" w:rsidRDefault="00721282" w:rsidP="00721282">
      <w:pPr>
        <w:pStyle w:val="ListParagraph"/>
        <w:ind w:left="720" w:firstLine="0"/>
        <w:rPr>
          <w:b/>
          <w:bCs/>
        </w:rPr>
      </w:pPr>
    </w:p>
    <w:p w14:paraId="577EC039" w14:textId="77777777" w:rsidR="00721282" w:rsidRDefault="00721282" w:rsidP="00721282">
      <w:pPr>
        <w:pStyle w:val="Heading1"/>
        <w:numPr>
          <w:ilvl w:val="0"/>
          <w:numId w:val="20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sz w:val="20"/>
        </w:rPr>
        <w:t>Pregunta de investigación:</w:t>
      </w:r>
      <w:r w:rsidRPr="00721282">
        <w:rPr>
          <w:sz w:val="20"/>
        </w:rPr>
        <w:br/>
      </w:r>
      <w:r w:rsidRPr="00721282">
        <w:rPr>
          <w:b w:val="0"/>
          <w:bCs w:val="0"/>
          <w:sz w:val="20"/>
        </w:rPr>
        <w:t>¿Cómo se relacionan las características demográficas y socioeconómicas de mujeres emprendedoras con el acceso a servicios financieros y su bienestar económico, basándonos en la base de datos WWBI del Banco Mundial?</w:t>
      </w:r>
    </w:p>
    <w:p w14:paraId="628886F2" w14:textId="77777777" w:rsidR="00721282" w:rsidRDefault="00721282" w:rsidP="00721282">
      <w:pPr>
        <w:pStyle w:val="Heading1"/>
        <w:numPr>
          <w:ilvl w:val="0"/>
          <w:numId w:val="18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sz w:val="20"/>
        </w:rPr>
        <w:t>Hipótesis inicial:</w:t>
      </w:r>
      <w:r w:rsidRPr="00721282">
        <w:rPr>
          <w:b w:val="0"/>
          <w:bCs w:val="0"/>
          <w:sz w:val="20"/>
        </w:rPr>
        <w:br/>
        <w:t>Factores como el nivel educativo, el tipo de empleo, el ingreso mensual y la ubicación geográfica influyen significativamente en el acceso a productos financieros y, en consecuencia, en el bienestar económico de las mujeres.</w:t>
      </w:r>
    </w:p>
    <w:p w14:paraId="27318772" w14:textId="393933E4" w:rsidR="00721282" w:rsidRDefault="00721282" w:rsidP="00721282">
      <w:pPr>
        <w:pStyle w:val="Heading1"/>
        <w:numPr>
          <w:ilvl w:val="0"/>
          <w:numId w:val="18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sz w:val="20"/>
        </w:rPr>
        <w:t>Relevancia:</w:t>
      </w:r>
      <w:r w:rsidRPr="00721282">
        <w:rPr>
          <w:b w:val="0"/>
          <w:bCs w:val="0"/>
          <w:sz w:val="20"/>
        </w:rPr>
        <w:br/>
        <w:t>Este análisis proporciona una base empírica para diseñar políticas públicas y programas de inclusión financiera enfocados en mujeres, especialmente en contextos de desigualdad económica o exclusión financiera. Puede ser especialmente útil para ONGs, instituciones financieras inclusivas y organismos multilaterales como el Banco Mundial.</w:t>
      </w:r>
    </w:p>
    <w:p w14:paraId="33A09F49" w14:textId="77777777" w:rsidR="00721282" w:rsidRPr="00721282" w:rsidRDefault="00721282" w:rsidP="00721282">
      <w:pPr>
        <w:pStyle w:val="Heading1"/>
        <w:tabs>
          <w:tab w:val="left" w:pos="376"/>
        </w:tabs>
        <w:spacing w:before="60"/>
        <w:ind w:left="720" w:firstLine="0"/>
        <w:rPr>
          <w:b w:val="0"/>
          <w:bCs w:val="0"/>
          <w:sz w:val="20"/>
        </w:rPr>
      </w:pPr>
    </w:p>
    <w:p w14:paraId="711919AB" w14:textId="0A3EEEEC" w:rsidR="00721282" w:rsidRDefault="00721282" w:rsidP="00721282">
      <w:pPr>
        <w:pStyle w:val="Heading1"/>
        <w:numPr>
          <w:ilvl w:val="1"/>
          <w:numId w:val="20"/>
        </w:numPr>
        <w:tabs>
          <w:tab w:val="left" w:pos="376"/>
        </w:tabs>
        <w:spacing w:before="60"/>
        <w:rPr>
          <w:sz w:val="20"/>
        </w:rPr>
      </w:pPr>
      <w:r w:rsidRPr="00721282">
        <w:rPr>
          <w:sz w:val="20"/>
        </w:rPr>
        <w:t>Organización del proyecto basada en la metodología CRISP-DM</w:t>
      </w:r>
    </w:p>
    <w:p w14:paraId="5261BA8F" w14:textId="77777777" w:rsidR="00721282" w:rsidRPr="00721282" w:rsidRDefault="00721282" w:rsidP="00721282">
      <w:pPr>
        <w:pStyle w:val="Heading1"/>
        <w:tabs>
          <w:tab w:val="left" w:pos="376"/>
        </w:tabs>
        <w:spacing w:before="60"/>
        <w:rPr>
          <w:sz w:val="20"/>
        </w:rPr>
      </w:pPr>
    </w:p>
    <w:p w14:paraId="6AFAAE94" w14:textId="77777777" w:rsidR="00721282" w:rsidRPr="00721282" w:rsidRDefault="00721282" w:rsidP="00721282">
      <w:pPr>
        <w:pStyle w:val="Heading1"/>
        <w:tabs>
          <w:tab w:val="left" w:pos="376"/>
        </w:tabs>
        <w:spacing w:before="60"/>
        <w:rPr>
          <w:sz w:val="20"/>
        </w:rPr>
      </w:pPr>
      <w:r w:rsidRPr="00721282">
        <w:rPr>
          <w:sz w:val="20"/>
        </w:rPr>
        <w:t>Fase 1: Business Understanding</w:t>
      </w:r>
    </w:p>
    <w:p w14:paraId="2E084E8A" w14:textId="77777777" w:rsidR="00721282" w:rsidRPr="00721282" w:rsidRDefault="00721282" w:rsidP="00721282">
      <w:pPr>
        <w:pStyle w:val="Heading1"/>
        <w:numPr>
          <w:ilvl w:val="0"/>
          <w:numId w:val="9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Problema:</w:t>
      </w:r>
      <w:r w:rsidRPr="00721282">
        <w:rPr>
          <w:b w:val="0"/>
          <w:bCs w:val="0"/>
          <w:sz w:val="20"/>
        </w:rPr>
        <w:br/>
        <w:t>Baja inclusión financiera entre mujeres, lo que limita su desarrollo económico y social.</w:t>
      </w:r>
    </w:p>
    <w:p w14:paraId="0FB9D7D5" w14:textId="77777777" w:rsidR="00721282" w:rsidRPr="00721282" w:rsidRDefault="00721282" w:rsidP="00721282">
      <w:pPr>
        <w:pStyle w:val="Heading1"/>
        <w:numPr>
          <w:ilvl w:val="0"/>
          <w:numId w:val="9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Valor del proyecto:</w:t>
      </w:r>
      <w:r w:rsidRPr="00721282">
        <w:rPr>
          <w:b w:val="0"/>
          <w:bCs w:val="0"/>
          <w:sz w:val="20"/>
        </w:rPr>
        <w:br/>
        <w:t>El MVP será un dashboard interactivo con insights clave sobre factores que impulsan o limitan el acceso a servicios financieros en mujeres. Esto permitirá a decisores de política pública actuar de manera informada.</w:t>
      </w:r>
    </w:p>
    <w:p w14:paraId="6799B5BB" w14:textId="77777777" w:rsidR="00721282" w:rsidRPr="00721282" w:rsidRDefault="00721282" w:rsidP="00721282">
      <w:pPr>
        <w:pStyle w:val="Heading1"/>
        <w:tabs>
          <w:tab w:val="left" w:pos="376"/>
        </w:tabs>
        <w:spacing w:before="60"/>
        <w:rPr>
          <w:sz w:val="20"/>
        </w:rPr>
      </w:pPr>
      <w:r w:rsidRPr="00721282">
        <w:rPr>
          <w:sz w:val="20"/>
        </w:rPr>
        <w:t>Fase 2: Data Understanding</w:t>
      </w:r>
    </w:p>
    <w:p w14:paraId="0EDDBF59" w14:textId="77777777" w:rsidR="00721282" w:rsidRPr="00721282" w:rsidRDefault="00721282" w:rsidP="00721282">
      <w:pPr>
        <w:pStyle w:val="Heading1"/>
        <w:numPr>
          <w:ilvl w:val="0"/>
          <w:numId w:val="10"/>
        </w:numPr>
        <w:tabs>
          <w:tab w:val="left" w:pos="376"/>
        </w:tabs>
        <w:spacing w:before="60"/>
        <w:rPr>
          <w:b w:val="0"/>
          <w:bCs w:val="0"/>
          <w:sz w:val="20"/>
          <w:lang w:val="en-US"/>
        </w:rPr>
      </w:pPr>
      <w:r w:rsidRPr="00721282">
        <w:rPr>
          <w:b w:val="0"/>
          <w:bCs w:val="0"/>
          <w:sz w:val="20"/>
          <w:lang w:val="en-US"/>
        </w:rPr>
        <w:t>Fuente de datos:</w:t>
      </w:r>
      <w:r w:rsidRPr="00721282">
        <w:rPr>
          <w:b w:val="0"/>
          <w:bCs w:val="0"/>
          <w:sz w:val="20"/>
          <w:lang w:val="en-US"/>
        </w:rPr>
        <w:br/>
        <w:t xml:space="preserve">World Bank’s World-Wide Bureau of Indicators (WWBI) – </w:t>
      </w:r>
      <w:hyperlink r:id="rId7" w:tgtFrame="_new" w:history="1">
        <w:r w:rsidRPr="00721282">
          <w:rPr>
            <w:rStyle w:val="Hyperlink"/>
            <w:b w:val="0"/>
            <w:bCs w:val="0"/>
            <w:sz w:val="20"/>
            <w:lang w:val="en-US"/>
          </w:rPr>
          <w:t>ver enlace</w:t>
        </w:r>
      </w:hyperlink>
      <w:r w:rsidRPr="00721282">
        <w:rPr>
          <w:b w:val="0"/>
          <w:bCs w:val="0"/>
          <w:sz w:val="20"/>
          <w:lang w:val="en-US"/>
        </w:rPr>
        <w:t>.</w:t>
      </w:r>
    </w:p>
    <w:p w14:paraId="6C0268D6" w14:textId="77777777" w:rsidR="00721282" w:rsidRPr="00721282" w:rsidRDefault="00721282" w:rsidP="00721282">
      <w:pPr>
        <w:pStyle w:val="Heading1"/>
        <w:numPr>
          <w:ilvl w:val="0"/>
          <w:numId w:val="10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Frecuencia de actualización:</w:t>
      </w:r>
      <w:r w:rsidRPr="00721282">
        <w:rPr>
          <w:b w:val="0"/>
          <w:bCs w:val="0"/>
          <w:sz w:val="20"/>
        </w:rPr>
        <w:br/>
        <w:t>Los datos corresponden a encuestas transversales (última edición: 2023) y no se actualizan anualmente.</w:t>
      </w:r>
    </w:p>
    <w:p w14:paraId="337CB9BA" w14:textId="77777777" w:rsidR="00721282" w:rsidRPr="00721282" w:rsidRDefault="00721282" w:rsidP="00721282">
      <w:pPr>
        <w:pStyle w:val="Heading1"/>
        <w:numPr>
          <w:ilvl w:val="0"/>
          <w:numId w:val="10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Variables clave:</w:t>
      </w:r>
    </w:p>
    <w:p w14:paraId="52EDE245" w14:textId="77777777" w:rsidR="00721282" w:rsidRPr="00721282" w:rsidRDefault="00721282" w:rsidP="00721282">
      <w:pPr>
        <w:pStyle w:val="Heading1"/>
        <w:numPr>
          <w:ilvl w:val="1"/>
          <w:numId w:val="10"/>
        </w:numPr>
        <w:tabs>
          <w:tab w:val="left" w:pos="376"/>
        </w:tabs>
        <w:spacing w:before="60"/>
        <w:rPr>
          <w:b w:val="0"/>
          <w:bCs w:val="0"/>
          <w:sz w:val="20"/>
          <w:lang w:val="en-US"/>
        </w:rPr>
      </w:pPr>
      <w:r w:rsidRPr="00721282">
        <w:rPr>
          <w:b w:val="0"/>
          <w:bCs w:val="0"/>
          <w:sz w:val="20"/>
          <w:lang w:val="en-US"/>
        </w:rPr>
        <w:t>country, region, gender, age, education_level, employment_status, monthly_income, has_bank_account, uses_mobile_money, borrowed_last_year, savings_account.</w:t>
      </w:r>
    </w:p>
    <w:p w14:paraId="0B0E58C5" w14:textId="77777777" w:rsidR="00721282" w:rsidRPr="00721282" w:rsidRDefault="00721282" w:rsidP="00721282">
      <w:pPr>
        <w:pStyle w:val="Heading1"/>
        <w:numPr>
          <w:ilvl w:val="0"/>
          <w:numId w:val="10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Desafíos esperados:</w:t>
      </w:r>
    </w:p>
    <w:p w14:paraId="40704007" w14:textId="77102B3E" w:rsidR="00721282" w:rsidRPr="00721282" w:rsidRDefault="00721282" w:rsidP="00721282">
      <w:pPr>
        <w:pStyle w:val="Heading1"/>
        <w:numPr>
          <w:ilvl w:val="1"/>
          <w:numId w:val="10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 xml:space="preserve">Valores nulos </w:t>
      </w:r>
      <w:r w:rsidR="00411568">
        <w:rPr>
          <w:b w:val="0"/>
          <w:bCs w:val="0"/>
          <w:sz w:val="20"/>
        </w:rPr>
        <w:t>las columnas años</w:t>
      </w:r>
      <w:r w:rsidRPr="00721282">
        <w:rPr>
          <w:b w:val="0"/>
          <w:bCs w:val="0"/>
          <w:sz w:val="20"/>
        </w:rPr>
        <w:t>.</w:t>
      </w:r>
    </w:p>
    <w:p w14:paraId="3467D75F" w14:textId="77777777" w:rsidR="00411568" w:rsidRDefault="00721282" w:rsidP="00411568">
      <w:pPr>
        <w:pStyle w:val="Heading1"/>
        <w:numPr>
          <w:ilvl w:val="1"/>
          <w:numId w:val="10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Inconsistencias categóricas por país o idioma.</w:t>
      </w:r>
    </w:p>
    <w:p w14:paraId="425E715E" w14:textId="41BAC016" w:rsidR="00721282" w:rsidRPr="00411568" w:rsidRDefault="00721282" w:rsidP="00411568">
      <w:pPr>
        <w:pStyle w:val="Heading1"/>
        <w:tabs>
          <w:tab w:val="left" w:pos="376"/>
        </w:tabs>
        <w:spacing w:before="60"/>
        <w:rPr>
          <w:b w:val="0"/>
          <w:bCs w:val="0"/>
          <w:sz w:val="20"/>
        </w:rPr>
      </w:pPr>
      <w:r w:rsidRPr="00411568">
        <w:rPr>
          <w:sz w:val="20"/>
        </w:rPr>
        <w:lastRenderedPageBreak/>
        <w:t xml:space="preserve">Fase 3: Data </w:t>
      </w:r>
      <w:proofErr w:type="spellStart"/>
      <w:r w:rsidRPr="00411568">
        <w:rPr>
          <w:sz w:val="20"/>
        </w:rPr>
        <w:t>Preparation</w:t>
      </w:r>
      <w:proofErr w:type="spellEnd"/>
    </w:p>
    <w:p w14:paraId="3C30077A" w14:textId="77777777" w:rsidR="00721282" w:rsidRPr="00721282" w:rsidRDefault="00721282" w:rsidP="00721282">
      <w:pPr>
        <w:pStyle w:val="Heading1"/>
        <w:numPr>
          <w:ilvl w:val="0"/>
          <w:numId w:val="11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Tareas previstas:</w:t>
      </w:r>
    </w:p>
    <w:p w14:paraId="199BB57B" w14:textId="3633C01A" w:rsidR="00721282" w:rsidRPr="00721282" w:rsidRDefault="00721282" w:rsidP="00721282">
      <w:pPr>
        <w:pStyle w:val="Heading1"/>
        <w:numPr>
          <w:ilvl w:val="1"/>
          <w:numId w:val="11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Imputación de valores faltantes (</w:t>
      </w:r>
      <w:r w:rsidR="00411568">
        <w:rPr>
          <w:b w:val="0"/>
          <w:bCs w:val="0"/>
          <w:sz w:val="20"/>
        </w:rPr>
        <w:t xml:space="preserve">valores </w:t>
      </w:r>
      <w:proofErr w:type="spellStart"/>
      <w:r w:rsidR="00411568">
        <w:rPr>
          <w:b w:val="0"/>
          <w:bCs w:val="0"/>
          <w:sz w:val="20"/>
        </w:rPr>
        <w:t>Nan</w:t>
      </w:r>
      <w:proofErr w:type="spellEnd"/>
      <w:r w:rsidR="00411568">
        <w:rPr>
          <w:b w:val="0"/>
          <w:bCs w:val="0"/>
          <w:sz w:val="20"/>
        </w:rPr>
        <w:t xml:space="preserve"> en las columnas</w:t>
      </w:r>
      <w:r w:rsidRPr="00721282">
        <w:rPr>
          <w:b w:val="0"/>
          <w:bCs w:val="0"/>
          <w:sz w:val="20"/>
        </w:rPr>
        <w:t>).</w:t>
      </w:r>
    </w:p>
    <w:p w14:paraId="058DE137" w14:textId="77777777" w:rsidR="00721282" w:rsidRPr="00721282" w:rsidRDefault="00721282" w:rsidP="00721282">
      <w:pPr>
        <w:pStyle w:val="Heading1"/>
        <w:numPr>
          <w:ilvl w:val="1"/>
          <w:numId w:val="11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Normalización de variables categóricas (</w:t>
      </w:r>
      <w:proofErr w:type="spellStart"/>
      <w:r w:rsidRPr="00721282">
        <w:rPr>
          <w:b w:val="0"/>
          <w:bCs w:val="0"/>
          <w:sz w:val="20"/>
        </w:rPr>
        <w:t>employment_status</w:t>
      </w:r>
      <w:proofErr w:type="spellEnd"/>
      <w:r w:rsidRPr="00721282">
        <w:rPr>
          <w:b w:val="0"/>
          <w:bCs w:val="0"/>
          <w:sz w:val="20"/>
        </w:rPr>
        <w:t>, education_level).</w:t>
      </w:r>
    </w:p>
    <w:p w14:paraId="2F05B0EE" w14:textId="3540C98E" w:rsidR="00721282" w:rsidRPr="00721282" w:rsidRDefault="00721282" w:rsidP="00721282">
      <w:pPr>
        <w:pStyle w:val="Heading1"/>
        <w:numPr>
          <w:ilvl w:val="1"/>
          <w:numId w:val="11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>Detección y manejo de outliers (por ejemplo, ingresos extremadamente altos</w:t>
      </w:r>
      <w:r w:rsidR="00411568">
        <w:rPr>
          <w:b w:val="0"/>
          <w:bCs w:val="0"/>
          <w:sz w:val="20"/>
        </w:rPr>
        <w:t xml:space="preserve"> o </w:t>
      </w:r>
      <w:proofErr w:type="spellStart"/>
      <w:r w:rsidR="00411568">
        <w:rPr>
          <w:b w:val="0"/>
          <w:bCs w:val="0"/>
          <w:sz w:val="20"/>
        </w:rPr>
        <w:t>extremedamente</w:t>
      </w:r>
      <w:proofErr w:type="spellEnd"/>
      <w:r w:rsidR="00411568">
        <w:rPr>
          <w:b w:val="0"/>
          <w:bCs w:val="0"/>
          <w:sz w:val="20"/>
        </w:rPr>
        <w:t xml:space="preserve"> bajos</w:t>
      </w:r>
      <w:r w:rsidRPr="00721282">
        <w:rPr>
          <w:b w:val="0"/>
          <w:bCs w:val="0"/>
          <w:sz w:val="20"/>
        </w:rPr>
        <w:t>).</w:t>
      </w:r>
    </w:p>
    <w:p w14:paraId="08616BE9" w14:textId="3A5E7ACE" w:rsidR="00721282" w:rsidRPr="00721282" w:rsidRDefault="00721282" w:rsidP="00721282">
      <w:pPr>
        <w:pStyle w:val="Heading1"/>
        <w:numPr>
          <w:ilvl w:val="1"/>
          <w:numId w:val="11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721282">
        <w:rPr>
          <w:b w:val="0"/>
          <w:bCs w:val="0"/>
          <w:sz w:val="20"/>
        </w:rPr>
        <w:t xml:space="preserve">Generación de variables derivadas </w:t>
      </w:r>
      <w:proofErr w:type="gramStart"/>
      <w:r w:rsidR="00411568">
        <w:rPr>
          <w:b w:val="0"/>
          <w:bCs w:val="0"/>
          <w:sz w:val="20"/>
        </w:rPr>
        <w:t>en relación al</w:t>
      </w:r>
      <w:proofErr w:type="gramEnd"/>
      <w:r w:rsidR="00411568">
        <w:rPr>
          <w:b w:val="0"/>
          <w:bCs w:val="0"/>
          <w:sz w:val="20"/>
        </w:rPr>
        <w:t xml:space="preserve"> filtrado de los datos como: “Región”, “Tipo de indicador”</w:t>
      </w:r>
      <w:r w:rsidRPr="00721282">
        <w:rPr>
          <w:b w:val="0"/>
          <w:bCs w:val="0"/>
          <w:sz w:val="20"/>
        </w:rPr>
        <w:t>).</w:t>
      </w:r>
    </w:p>
    <w:p w14:paraId="1C758E22" w14:textId="007233E5" w:rsidR="00721282" w:rsidRPr="00721282" w:rsidRDefault="00721282" w:rsidP="00721282">
      <w:pPr>
        <w:pStyle w:val="Heading1"/>
        <w:tabs>
          <w:tab w:val="left" w:pos="376"/>
        </w:tabs>
        <w:spacing w:before="60"/>
        <w:rPr>
          <w:b w:val="0"/>
          <w:bCs w:val="0"/>
          <w:sz w:val="20"/>
        </w:rPr>
      </w:pPr>
    </w:p>
    <w:p w14:paraId="64DA6293" w14:textId="2D06FF05" w:rsidR="00721282" w:rsidRPr="00721282" w:rsidRDefault="00721282" w:rsidP="00721282">
      <w:pPr>
        <w:pStyle w:val="Heading1"/>
        <w:tabs>
          <w:tab w:val="left" w:pos="376"/>
        </w:tabs>
        <w:spacing w:before="60"/>
        <w:rPr>
          <w:sz w:val="20"/>
        </w:rPr>
      </w:pPr>
      <w:r w:rsidRPr="00721282">
        <w:rPr>
          <w:sz w:val="20"/>
        </w:rPr>
        <w:t>1.3. Análisis Exploratorio de los Datos (EDA)</w:t>
      </w:r>
    </w:p>
    <w:p w14:paraId="071ABD4B" w14:textId="3FDE5EFC" w:rsidR="00721282" w:rsidRDefault="00721282" w:rsidP="006C7098">
      <w:pPr>
        <w:pStyle w:val="Heading1"/>
        <w:tabs>
          <w:tab w:val="left" w:pos="376"/>
        </w:tabs>
        <w:spacing w:before="60"/>
        <w:rPr>
          <w:b w:val="0"/>
          <w:bCs w:val="0"/>
          <w:sz w:val="20"/>
        </w:rPr>
      </w:pPr>
    </w:p>
    <w:p w14:paraId="3A88C7C8" w14:textId="7547026C" w:rsidR="006C7098" w:rsidRPr="00411568" w:rsidRDefault="006C7098" w:rsidP="006C7098">
      <w:pPr>
        <w:pStyle w:val="Heading1"/>
        <w:numPr>
          <w:ilvl w:val="2"/>
          <w:numId w:val="21"/>
        </w:numPr>
        <w:tabs>
          <w:tab w:val="left" w:pos="376"/>
        </w:tabs>
        <w:spacing w:before="60"/>
        <w:rPr>
          <w:sz w:val="20"/>
        </w:rPr>
      </w:pPr>
      <w:r w:rsidRPr="00411568">
        <w:rPr>
          <w:sz w:val="20"/>
        </w:rPr>
        <w:t>Descripción de las variables:</w:t>
      </w:r>
    </w:p>
    <w:p w14:paraId="304D66F6" w14:textId="77777777" w:rsidR="006C7098" w:rsidRDefault="006C7098" w:rsidP="006C7098">
      <w:pPr>
        <w:pStyle w:val="Heading1"/>
        <w:tabs>
          <w:tab w:val="left" w:pos="376"/>
        </w:tabs>
        <w:spacing w:before="60"/>
        <w:ind w:left="-1" w:firstLine="0"/>
        <w:rPr>
          <w:b w:val="0"/>
          <w:bCs w:val="0"/>
          <w:sz w:val="20"/>
        </w:rPr>
      </w:pPr>
    </w:p>
    <w:p w14:paraId="117D6890" w14:textId="77777777" w:rsidR="006C7098" w:rsidRPr="006C7098" w:rsidRDefault="006C7098" w:rsidP="006C7098">
      <w:pPr>
        <w:pStyle w:val="Heading1"/>
        <w:numPr>
          <w:ilvl w:val="0"/>
          <w:numId w:val="22"/>
        </w:numPr>
        <w:tabs>
          <w:tab w:val="left" w:pos="376"/>
        </w:tabs>
        <w:spacing w:before="60"/>
        <w:rPr>
          <w:sz w:val="20"/>
        </w:rPr>
      </w:pPr>
      <w:r w:rsidRPr="006C7098">
        <w:rPr>
          <w:sz w:val="20"/>
        </w:rPr>
        <w:t xml:space="preserve">Filas (observaciones): </w:t>
      </w:r>
      <w:r w:rsidRPr="006C7098">
        <w:rPr>
          <w:b w:val="0"/>
          <w:bCs w:val="0"/>
          <w:sz w:val="20"/>
        </w:rPr>
        <w:t>61,004</w:t>
      </w:r>
    </w:p>
    <w:p w14:paraId="132103CE" w14:textId="77777777" w:rsidR="006C7098" w:rsidRPr="006C7098" w:rsidRDefault="006C7098" w:rsidP="006C7098">
      <w:pPr>
        <w:pStyle w:val="Heading1"/>
        <w:numPr>
          <w:ilvl w:val="0"/>
          <w:numId w:val="22"/>
        </w:numPr>
        <w:tabs>
          <w:tab w:val="left" w:pos="376"/>
        </w:tabs>
        <w:spacing w:before="60"/>
        <w:rPr>
          <w:sz w:val="20"/>
        </w:rPr>
      </w:pPr>
      <w:r w:rsidRPr="006C7098">
        <w:rPr>
          <w:sz w:val="20"/>
        </w:rPr>
        <w:t xml:space="preserve">Columnas (variables): </w:t>
      </w:r>
      <w:r w:rsidRPr="006C7098">
        <w:rPr>
          <w:b w:val="0"/>
          <w:bCs w:val="0"/>
          <w:sz w:val="20"/>
        </w:rPr>
        <w:t>27</w:t>
      </w:r>
    </w:p>
    <w:p w14:paraId="749B9EBE" w14:textId="77777777" w:rsidR="006C7098" w:rsidRPr="006C7098" w:rsidRDefault="006C7098" w:rsidP="006C7098">
      <w:pPr>
        <w:pStyle w:val="Heading1"/>
        <w:numPr>
          <w:ilvl w:val="0"/>
          <w:numId w:val="22"/>
        </w:numPr>
        <w:tabs>
          <w:tab w:val="left" w:pos="376"/>
        </w:tabs>
        <w:spacing w:before="60"/>
        <w:rPr>
          <w:sz w:val="20"/>
        </w:rPr>
      </w:pPr>
      <w:r w:rsidRPr="006C7098">
        <w:rPr>
          <w:sz w:val="20"/>
        </w:rPr>
        <w:t>Tipo de datos:</w:t>
      </w:r>
    </w:p>
    <w:p w14:paraId="1125E5F9" w14:textId="77777777" w:rsidR="006C7098" w:rsidRPr="006C7098" w:rsidRDefault="006C7098" w:rsidP="006C7098">
      <w:pPr>
        <w:pStyle w:val="Heading1"/>
        <w:numPr>
          <w:ilvl w:val="1"/>
          <w:numId w:val="22"/>
        </w:numPr>
        <w:tabs>
          <w:tab w:val="left" w:pos="376"/>
        </w:tabs>
        <w:spacing w:before="60"/>
        <w:rPr>
          <w:sz w:val="20"/>
        </w:rPr>
      </w:pPr>
      <w:r w:rsidRPr="006C7098">
        <w:rPr>
          <w:sz w:val="20"/>
        </w:rPr>
        <w:t>4 columnas categóricas:</w:t>
      </w:r>
    </w:p>
    <w:p w14:paraId="75F43A2D" w14:textId="77777777" w:rsidR="006C7098" w:rsidRPr="006C7098" w:rsidRDefault="006C7098" w:rsidP="006C7098">
      <w:pPr>
        <w:pStyle w:val="Heading1"/>
        <w:numPr>
          <w:ilvl w:val="2"/>
          <w:numId w:val="22"/>
        </w:numPr>
        <w:tabs>
          <w:tab w:val="left" w:pos="376"/>
        </w:tabs>
        <w:spacing w:before="60"/>
        <w:rPr>
          <w:b w:val="0"/>
          <w:bCs w:val="0"/>
          <w:sz w:val="20"/>
          <w:lang w:val="en-US"/>
        </w:rPr>
      </w:pPr>
      <w:r w:rsidRPr="006C7098">
        <w:rPr>
          <w:b w:val="0"/>
          <w:bCs w:val="0"/>
          <w:sz w:val="20"/>
          <w:lang w:val="en-US"/>
        </w:rPr>
        <w:t>Country Name, Country Code, Indicator Name, Indicator Code</w:t>
      </w:r>
    </w:p>
    <w:p w14:paraId="3568BD72" w14:textId="77777777" w:rsidR="006C7098" w:rsidRPr="006C7098" w:rsidRDefault="006C7098" w:rsidP="006C7098">
      <w:pPr>
        <w:pStyle w:val="Heading1"/>
        <w:numPr>
          <w:ilvl w:val="1"/>
          <w:numId w:val="22"/>
        </w:numPr>
        <w:tabs>
          <w:tab w:val="left" w:pos="376"/>
        </w:tabs>
        <w:spacing w:before="60"/>
        <w:rPr>
          <w:sz w:val="20"/>
        </w:rPr>
      </w:pPr>
      <w:r w:rsidRPr="006C7098">
        <w:rPr>
          <w:sz w:val="20"/>
        </w:rPr>
        <w:t>23 columnas numéricas (años del 2000 al 2022)</w:t>
      </w:r>
    </w:p>
    <w:p w14:paraId="3310165A" w14:textId="77777777" w:rsidR="006C7098" w:rsidRPr="006C7098" w:rsidRDefault="006C7098" w:rsidP="006C7098">
      <w:pPr>
        <w:pStyle w:val="Heading1"/>
        <w:tabs>
          <w:tab w:val="left" w:pos="376"/>
        </w:tabs>
        <w:spacing w:before="60"/>
        <w:ind w:left="-1" w:firstLine="0"/>
        <w:rPr>
          <w:b w:val="0"/>
          <w:bCs w:val="0"/>
          <w:sz w:val="20"/>
        </w:rPr>
      </w:pPr>
    </w:p>
    <w:p w14:paraId="38300348" w14:textId="77777777" w:rsidR="006C7098" w:rsidRPr="006C7098" w:rsidRDefault="006C7098" w:rsidP="006C7098">
      <w:pPr>
        <w:pStyle w:val="Heading1"/>
        <w:numPr>
          <w:ilvl w:val="0"/>
          <w:numId w:val="23"/>
        </w:numPr>
        <w:tabs>
          <w:tab w:val="left" w:pos="376"/>
        </w:tabs>
        <w:spacing w:before="60"/>
        <w:rPr>
          <w:sz w:val="20"/>
        </w:rPr>
      </w:pPr>
      <w:r w:rsidRPr="006C7098">
        <w:rPr>
          <w:sz w:val="20"/>
        </w:rPr>
        <w:t>A partir del año 2000:</w:t>
      </w:r>
    </w:p>
    <w:p w14:paraId="24FAC231" w14:textId="77777777" w:rsidR="006C7098" w:rsidRPr="006C7098" w:rsidRDefault="006C7098" w:rsidP="006C7098">
      <w:pPr>
        <w:pStyle w:val="Heading1"/>
        <w:numPr>
          <w:ilvl w:val="1"/>
          <w:numId w:val="23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6C7098">
        <w:rPr>
          <w:b w:val="0"/>
          <w:bCs w:val="0"/>
          <w:sz w:val="20"/>
        </w:rPr>
        <w:t>Más del 90% de los datos están ausentes para los primeros años (2000–2005).</w:t>
      </w:r>
    </w:p>
    <w:p w14:paraId="42F88DE5" w14:textId="77777777" w:rsidR="006C7098" w:rsidRPr="006C7098" w:rsidRDefault="006C7098" w:rsidP="006C7098">
      <w:pPr>
        <w:pStyle w:val="Heading1"/>
        <w:numPr>
          <w:ilvl w:val="1"/>
          <w:numId w:val="23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6C7098">
        <w:rPr>
          <w:b w:val="0"/>
          <w:bCs w:val="0"/>
          <w:sz w:val="20"/>
        </w:rPr>
        <w:t>Por ejemplo:</w:t>
      </w:r>
    </w:p>
    <w:p w14:paraId="54685797" w14:textId="77777777" w:rsidR="006C7098" w:rsidRPr="006C7098" w:rsidRDefault="006C7098" w:rsidP="006C7098">
      <w:pPr>
        <w:pStyle w:val="Heading1"/>
        <w:numPr>
          <w:ilvl w:val="2"/>
          <w:numId w:val="23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6C7098">
        <w:rPr>
          <w:b w:val="0"/>
          <w:bCs w:val="0"/>
          <w:sz w:val="20"/>
        </w:rPr>
        <w:t>2000: 57,377 valores faltantes (~94%)</w:t>
      </w:r>
    </w:p>
    <w:p w14:paraId="41F52E0C" w14:textId="77777777" w:rsidR="006C7098" w:rsidRPr="006C7098" w:rsidRDefault="006C7098" w:rsidP="006C7098">
      <w:pPr>
        <w:pStyle w:val="Heading1"/>
        <w:numPr>
          <w:ilvl w:val="2"/>
          <w:numId w:val="23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6C7098">
        <w:rPr>
          <w:b w:val="0"/>
          <w:bCs w:val="0"/>
          <w:sz w:val="20"/>
        </w:rPr>
        <w:t>2022: 60,573 valores faltantes (~99%)</w:t>
      </w:r>
    </w:p>
    <w:p w14:paraId="75F4554D" w14:textId="77777777" w:rsidR="006C7098" w:rsidRPr="00411568" w:rsidRDefault="006C7098" w:rsidP="006C7098">
      <w:pPr>
        <w:pStyle w:val="Heading1"/>
        <w:numPr>
          <w:ilvl w:val="0"/>
          <w:numId w:val="23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6C7098">
        <w:rPr>
          <w:b w:val="0"/>
          <w:bCs w:val="0"/>
          <w:sz w:val="20"/>
        </w:rPr>
        <w:t>Esto indica que la cobertura temporal es incompleta y variable según el indicador y el país.</w:t>
      </w:r>
    </w:p>
    <w:p w14:paraId="1EB7953E" w14:textId="77777777" w:rsidR="00411568" w:rsidRDefault="00411568" w:rsidP="00411568">
      <w:pPr>
        <w:pStyle w:val="Heading1"/>
        <w:tabs>
          <w:tab w:val="left" w:pos="376"/>
        </w:tabs>
        <w:spacing w:before="60"/>
        <w:ind w:left="720" w:firstLine="0"/>
        <w:rPr>
          <w:sz w:val="20"/>
        </w:rPr>
      </w:pPr>
    </w:p>
    <w:p w14:paraId="54019C12" w14:textId="203647A4" w:rsidR="00411568" w:rsidRDefault="00411568" w:rsidP="00411568">
      <w:pPr>
        <w:pStyle w:val="Heading1"/>
        <w:numPr>
          <w:ilvl w:val="2"/>
          <w:numId w:val="21"/>
        </w:numPr>
        <w:tabs>
          <w:tab w:val="left" w:pos="376"/>
        </w:tabs>
        <w:spacing w:before="60"/>
        <w:rPr>
          <w:sz w:val="20"/>
        </w:rPr>
      </w:pPr>
      <w:r>
        <w:rPr>
          <w:sz w:val="20"/>
        </w:rPr>
        <w:t>Visualizaciones iniciales:</w:t>
      </w:r>
    </w:p>
    <w:p w14:paraId="76DE7F5F" w14:textId="77777777" w:rsidR="003A6F16" w:rsidRDefault="003A6F16" w:rsidP="003A6F16">
      <w:pPr>
        <w:pStyle w:val="Heading1"/>
        <w:tabs>
          <w:tab w:val="left" w:pos="376"/>
        </w:tabs>
        <w:spacing w:before="60"/>
        <w:ind w:left="719" w:firstLine="0"/>
        <w:rPr>
          <w:sz w:val="20"/>
        </w:rPr>
      </w:pPr>
    </w:p>
    <w:p w14:paraId="56B1F517" w14:textId="3F4ADF44" w:rsidR="003A6F16" w:rsidRPr="003A6F16" w:rsidRDefault="003A6F16" w:rsidP="003A6F16">
      <w:pPr>
        <w:pStyle w:val="Heading1"/>
        <w:tabs>
          <w:tab w:val="left" w:pos="376"/>
        </w:tabs>
        <w:spacing w:before="60"/>
        <w:ind w:left="719" w:firstLine="0"/>
        <w:rPr>
          <w:sz w:val="20"/>
          <w:lang w:val="en-US"/>
        </w:rPr>
      </w:pPr>
      <w:r>
        <w:rPr>
          <w:sz w:val="20"/>
          <w:lang w:val="en-US"/>
        </w:rPr>
        <w:t xml:space="preserve">1.3.2.1 </w:t>
      </w:r>
      <w:proofErr w:type="spellStart"/>
      <w:r w:rsidRPr="003A6F16">
        <w:rPr>
          <w:sz w:val="20"/>
          <w:lang w:val="en-US"/>
        </w:rPr>
        <w:t>Evolución</w:t>
      </w:r>
      <w:proofErr w:type="spellEnd"/>
      <w:r w:rsidRPr="003A6F16">
        <w:rPr>
          <w:sz w:val="20"/>
          <w:lang w:val="en-US"/>
        </w:rPr>
        <w:t xml:space="preserve"> del </w:t>
      </w:r>
      <w:proofErr w:type="spellStart"/>
      <w:r w:rsidRPr="003A6F16">
        <w:rPr>
          <w:sz w:val="20"/>
          <w:lang w:val="en-US"/>
        </w:rPr>
        <w:t>indicador</w:t>
      </w:r>
      <w:proofErr w:type="spellEnd"/>
      <w:r w:rsidRPr="003A6F16">
        <w:rPr>
          <w:sz w:val="20"/>
          <w:lang w:val="en-US"/>
        </w:rPr>
        <w:t>: Females, as a share of public p</w:t>
      </w:r>
      <w:r>
        <w:rPr>
          <w:sz w:val="20"/>
          <w:lang w:val="en-US"/>
        </w:rPr>
        <w:t xml:space="preserve">aid </w:t>
      </w:r>
      <w:proofErr w:type="spellStart"/>
      <w:r>
        <w:rPr>
          <w:sz w:val="20"/>
          <w:lang w:val="en-US"/>
        </w:rPr>
        <w:t>employess</w:t>
      </w:r>
      <w:proofErr w:type="spellEnd"/>
      <w:r>
        <w:rPr>
          <w:sz w:val="20"/>
          <w:lang w:val="en-US"/>
        </w:rPr>
        <w:t xml:space="preserve"> by occupational group: Mangers </w:t>
      </w:r>
      <w:proofErr w:type="spellStart"/>
      <w:r>
        <w:rPr>
          <w:sz w:val="20"/>
          <w:lang w:val="en-US"/>
        </w:rPr>
        <w:t>en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Latinoamérica</w:t>
      </w:r>
      <w:proofErr w:type="spellEnd"/>
    </w:p>
    <w:p w14:paraId="64522D48" w14:textId="77777777" w:rsidR="003A6F16" w:rsidRPr="003A6F16" w:rsidRDefault="003A6F16" w:rsidP="003A6F16">
      <w:pPr>
        <w:pStyle w:val="Heading1"/>
        <w:tabs>
          <w:tab w:val="left" w:pos="376"/>
        </w:tabs>
        <w:spacing w:before="60"/>
        <w:ind w:left="719" w:firstLine="0"/>
        <w:rPr>
          <w:sz w:val="20"/>
          <w:lang w:val="en-US"/>
        </w:rPr>
      </w:pPr>
    </w:p>
    <w:p w14:paraId="7ACA5100" w14:textId="5637D348" w:rsidR="003A6F16" w:rsidRDefault="003A6F16" w:rsidP="003A6F16">
      <w:pPr>
        <w:pStyle w:val="Heading1"/>
        <w:tabs>
          <w:tab w:val="left" w:pos="376"/>
        </w:tabs>
        <w:spacing w:before="60"/>
        <w:ind w:left="719" w:firstLine="0"/>
        <w:jc w:val="center"/>
        <w:rPr>
          <w:sz w:val="20"/>
        </w:rPr>
      </w:pPr>
      <w:r w:rsidRPr="003A6F16">
        <w:rPr>
          <w:sz w:val="20"/>
        </w:rPr>
        <w:drawing>
          <wp:inline distT="0" distB="0" distL="0" distR="0" wp14:anchorId="36B160F3" wp14:editId="20A2830F">
            <wp:extent cx="4346812" cy="1947242"/>
            <wp:effectExtent l="0" t="0" r="0" b="0"/>
            <wp:docPr id="95290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3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457" cy="19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E90E" w14:textId="13F07BFB" w:rsidR="003A6F16" w:rsidRDefault="003A6F16" w:rsidP="003A6F16">
      <w:pPr>
        <w:pStyle w:val="Heading1"/>
        <w:tabs>
          <w:tab w:val="left" w:pos="376"/>
        </w:tabs>
        <w:spacing w:before="60"/>
        <w:ind w:left="719" w:firstLine="0"/>
        <w:rPr>
          <w:sz w:val="20"/>
        </w:rPr>
      </w:pPr>
      <w:r>
        <w:rPr>
          <w:sz w:val="20"/>
        </w:rPr>
        <w:t xml:space="preserve"> </w:t>
      </w:r>
    </w:p>
    <w:p w14:paraId="1AA49B28" w14:textId="673F30F5" w:rsidR="003A6F16" w:rsidRDefault="003A6F16" w:rsidP="003A6F16">
      <w:pPr>
        <w:pStyle w:val="Heading1"/>
        <w:tabs>
          <w:tab w:val="left" w:pos="376"/>
        </w:tabs>
        <w:spacing w:before="60"/>
        <w:ind w:left="719" w:firstLine="0"/>
        <w:rPr>
          <w:sz w:val="20"/>
        </w:rPr>
      </w:pPr>
      <w:r>
        <w:rPr>
          <w:sz w:val="20"/>
        </w:rPr>
        <w:t>Descripción:</w:t>
      </w:r>
    </w:p>
    <w:p w14:paraId="0AEA62B9" w14:textId="3DAF5E59" w:rsidR="003A6F16" w:rsidRDefault="003A6F16" w:rsidP="003A6F16">
      <w:pPr>
        <w:pStyle w:val="Heading1"/>
        <w:tabs>
          <w:tab w:val="left" w:pos="376"/>
        </w:tabs>
        <w:spacing w:before="60"/>
        <w:ind w:left="719"/>
        <w:rPr>
          <w:sz w:val="20"/>
        </w:rPr>
      </w:pPr>
      <w:r>
        <w:rPr>
          <w:b w:val="0"/>
          <w:bCs w:val="0"/>
          <w:sz w:val="20"/>
        </w:rPr>
        <w:lastRenderedPageBreak/>
        <w:tab/>
      </w:r>
      <w:r>
        <w:rPr>
          <w:b w:val="0"/>
          <w:bCs w:val="0"/>
          <w:sz w:val="20"/>
        </w:rPr>
        <w:tab/>
      </w:r>
      <w:r w:rsidRPr="003A6F16">
        <w:rPr>
          <w:b w:val="0"/>
          <w:bCs w:val="0"/>
          <w:sz w:val="20"/>
        </w:rPr>
        <w:t>A partir de la imagen presentada, que muestra la evolución del indicador "</w:t>
      </w:r>
      <w:proofErr w:type="spellStart"/>
      <w:r w:rsidRPr="003A6F16">
        <w:rPr>
          <w:b w:val="0"/>
          <w:bCs w:val="0"/>
          <w:sz w:val="20"/>
        </w:rPr>
        <w:t>Females</w:t>
      </w:r>
      <w:proofErr w:type="spellEnd"/>
      <w:r w:rsidRPr="003A6F16">
        <w:rPr>
          <w:b w:val="0"/>
          <w:bCs w:val="0"/>
          <w:sz w:val="20"/>
        </w:rPr>
        <w:t xml:space="preserve">, as a share </w:t>
      </w:r>
      <w:proofErr w:type="spellStart"/>
      <w:r w:rsidRPr="003A6F16">
        <w:rPr>
          <w:b w:val="0"/>
          <w:bCs w:val="0"/>
          <w:sz w:val="20"/>
        </w:rPr>
        <w:t>of</w:t>
      </w:r>
      <w:proofErr w:type="spellEnd"/>
      <w:r w:rsidRPr="003A6F16">
        <w:rPr>
          <w:b w:val="0"/>
          <w:bCs w:val="0"/>
          <w:sz w:val="20"/>
        </w:rPr>
        <w:t xml:space="preserve"> </w:t>
      </w:r>
      <w:proofErr w:type="spellStart"/>
      <w:r w:rsidRPr="003A6F16">
        <w:rPr>
          <w:b w:val="0"/>
          <w:bCs w:val="0"/>
          <w:sz w:val="20"/>
        </w:rPr>
        <w:t>public</w:t>
      </w:r>
      <w:proofErr w:type="spellEnd"/>
      <w:r w:rsidRPr="003A6F16">
        <w:rPr>
          <w:b w:val="0"/>
          <w:bCs w:val="0"/>
          <w:sz w:val="20"/>
        </w:rPr>
        <w:t xml:space="preserve"> </w:t>
      </w:r>
      <w:proofErr w:type="spellStart"/>
      <w:r w:rsidRPr="003A6F16">
        <w:rPr>
          <w:b w:val="0"/>
          <w:bCs w:val="0"/>
          <w:sz w:val="20"/>
        </w:rPr>
        <w:t>paid</w:t>
      </w:r>
      <w:proofErr w:type="spellEnd"/>
      <w:r w:rsidRPr="003A6F16">
        <w:rPr>
          <w:b w:val="0"/>
          <w:bCs w:val="0"/>
          <w:sz w:val="20"/>
        </w:rPr>
        <w:t xml:space="preserve"> </w:t>
      </w:r>
      <w:proofErr w:type="spellStart"/>
      <w:r w:rsidRPr="003A6F16">
        <w:rPr>
          <w:b w:val="0"/>
          <w:bCs w:val="0"/>
          <w:sz w:val="20"/>
        </w:rPr>
        <w:t>employees</w:t>
      </w:r>
      <w:proofErr w:type="spellEnd"/>
      <w:r w:rsidRPr="003A6F16">
        <w:rPr>
          <w:b w:val="0"/>
          <w:bCs w:val="0"/>
          <w:sz w:val="20"/>
        </w:rPr>
        <w:t xml:space="preserve"> </w:t>
      </w:r>
      <w:proofErr w:type="spellStart"/>
      <w:r w:rsidRPr="003A6F16">
        <w:rPr>
          <w:b w:val="0"/>
          <w:bCs w:val="0"/>
          <w:sz w:val="20"/>
        </w:rPr>
        <w:t>by</w:t>
      </w:r>
      <w:proofErr w:type="spellEnd"/>
      <w:r w:rsidRPr="003A6F16">
        <w:rPr>
          <w:b w:val="0"/>
          <w:bCs w:val="0"/>
          <w:sz w:val="20"/>
        </w:rPr>
        <w:t xml:space="preserve"> </w:t>
      </w:r>
      <w:proofErr w:type="spellStart"/>
      <w:r w:rsidRPr="003A6F16">
        <w:rPr>
          <w:b w:val="0"/>
          <w:bCs w:val="0"/>
          <w:sz w:val="20"/>
        </w:rPr>
        <w:t>occupational</w:t>
      </w:r>
      <w:proofErr w:type="spellEnd"/>
      <w:r w:rsidRPr="003A6F16">
        <w:rPr>
          <w:b w:val="0"/>
          <w:bCs w:val="0"/>
          <w:sz w:val="20"/>
        </w:rPr>
        <w:t xml:space="preserve"> </w:t>
      </w:r>
      <w:proofErr w:type="spellStart"/>
      <w:r w:rsidRPr="003A6F16">
        <w:rPr>
          <w:b w:val="0"/>
          <w:bCs w:val="0"/>
          <w:sz w:val="20"/>
        </w:rPr>
        <w:t>group</w:t>
      </w:r>
      <w:proofErr w:type="spellEnd"/>
      <w:r w:rsidRPr="003A6F16">
        <w:rPr>
          <w:b w:val="0"/>
          <w:bCs w:val="0"/>
          <w:sz w:val="20"/>
        </w:rPr>
        <w:t>: Managers" en países de Latinoamérica entre 2010 y 2021, se pueden destacar las siguientes conclusiones</w:t>
      </w:r>
      <w:r w:rsidRPr="003A6F16">
        <w:rPr>
          <w:sz w:val="20"/>
        </w:rPr>
        <w:t>:</w:t>
      </w:r>
    </w:p>
    <w:p w14:paraId="1E47EC74" w14:textId="6C8328E9" w:rsidR="003A6F16" w:rsidRPr="003A6F16" w:rsidRDefault="003A6F16" w:rsidP="003A6F16">
      <w:pPr>
        <w:pStyle w:val="Heading1"/>
        <w:numPr>
          <w:ilvl w:val="0"/>
          <w:numId w:val="28"/>
        </w:numPr>
        <w:tabs>
          <w:tab w:val="left" w:pos="376"/>
        </w:tabs>
        <w:spacing w:before="60"/>
        <w:rPr>
          <w:sz w:val="20"/>
        </w:rPr>
      </w:pPr>
      <w:r w:rsidRPr="003A6F16">
        <w:rPr>
          <w:sz w:val="20"/>
        </w:rPr>
        <w:t>Variabilidad significativa entre países:</w:t>
      </w:r>
    </w:p>
    <w:p w14:paraId="4846E6BF" w14:textId="77777777" w:rsidR="003A6F16" w:rsidRPr="003A6F16" w:rsidRDefault="003A6F16" w:rsidP="003A6F16">
      <w:pPr>
        <w:pStyle w:val="Heading1"/>
        <w:numPr>
          <w:ilvl w:val="0"/>
          <w:numId w:val="24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El porcentaje de mujeres en cargos de gerencia del sector público varía notablemente entre países latinoamericanos.</w:t>
      </w:r>
    </w:p>
    <w:p w14:paraId="630F0799" w14:textId="77777777" w:rsidR="003A6F16" w:rsidRPr="003A6F16" w:rsidRDefault="003A6F16" w:rsidP="003A6F16">
      <w:pPr>
        <w:pStyle w:val="Heading1"/>
        <w:numPr>
          <w:ilvl w:val="0"/>
          <w:numId w:val="24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Algunos países muestran trayectorias ascendentes (como Uruguay, Costa Rica y Ecuador), mientras que otros tienen tendencias más irregulares o estancadas (como Perú, Nicaragua o Honduras).</w:t>
      </w:r>
    </w:p>
    <w:p w14:paraId="52A36D18" w14:textId="7CA6C54A" w:rsidR="003A6F16" w:rsidRPr="003A6F16" w:rsidRDefault="003A6F16" w:rsidP="003A6F16">
      <w:pPr>
        <w:pStyle w:val="Heading1"/>
        <w:numPr>
          <w:ilvl w:val="0"/>
          <w:numId w:val="28"/>
        </w:numPr>
        <w:tabs>
          <w:tab w:val="left" w:pos="376"/>
        </w:tabs>
        <w:spacing w:before="60"/>
        <w:rPr>
          <w:sz w:val="20"/>
        </w:rPr>
      </w:pPr>
      <w:r w:rsidRPr="003A6F16">
        <w:rPr>
          <w:sz w:val="20"/>
        </w:rPr>
        <w:t>Presencia femenina superior al 50% en varios países:</w:t>
      </w:r>
    </w:p>
    <w:p w14:paraId="629D1CDD" w14:textId="77777777" w:rsidR="003A6F16" w:rsidRPr="003A6F16" w:rsidRDefault="003A6F16" w:rsidP="003A6F16">
      <w:pPr>
        <w:pStyle w:val="Heading1"/>
        <w:numPr>
          <w:ilvl w:val="0"/>
          <w:numId w:val="25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Países como Uruguay, Colombia, Ecuador y Argentina superan consistentemente el 50% en ciertos años, lo cual sugiere avances importantes en paridad de género en puestos directivos públicos.</w:t>
      </w:r>
    </w:p>
    <w:p w14:paraId="406940BF" w14:textId="24E7B2DE" w:rsidR="003A6F16" w:rsidRPr="003A6F16" w:rsidRDefault="003A6F16" w:rsidP="003A6F16">
      <w:pPr>
        <w:pStyle w:val="Heading1"/>
        <w:numPr>
          <w:ilvl w:val="0"/>
          <w:numId w:val="28"/>
        </w:numPr>
        <w:tabs>
          <w:tab w:val="left" w:pos="376"/>
        </w:tabs>
        <w:spacing w:before="60"/>
        <w:rPr>
          <w:sz w:val="20"/>
        </w:rPr>
      </w:pPr>
      <w:r w:rsidRPr="003A6F16">
        <w:rPr>
          <w:sz w:val="20"/>
        </w:rPr>
        <w:t>Estabilidad o estancamiento en otros casos:</w:t>
      </w:r>
    </w:p>
    <w:p w14:paraId="20E5BFE6" w14:textId="77777777" w:rsidR="003A6F16" w:rsidRPr="003A6F16" w:rsidRDefault="003A6F16" w:rsidP="003A6F16">
      <w:pPr>
        <w:pStyle w:val="Heading1"/>
        <w:numPr>
          <w:ilvl w:val="0"/>
          <w:numId w:val="26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Algunos países como Perú, Nicaragua y Paraguay muestran un porcentaje femenino que oscila alrededor del 30%–40%, sin una tendencia clara de mejora.</w:t>
      </w:r>
    </w:p>
    <w:p w14:paraId="28FF8C3C" w14:textId="7EB4B951" w:rsidR="003A6F16" w:rsidRPr="003A6F16" w:rsidRDefault="003A6F16" w:rsidP="003A6F16">
      <w:pPr>
        <w:pStyle w:val="Heading1"/>
        <w:numPr>
          <w:ilvl w:val="0"/>
          <w:numId w:val="28"/>
        </w:numPr>
        <w:tabs>
          <w:tab w:val="left" w:pos="376"/>
        </w:tabs>
        <w:spacing w:before="60"/>
        <w:rPr>
          <w:sz w:val="20"/>
        </w:rPr>
      </w:pPr>
      <w:r w:rsidRPr="003A6F16">
        <w:rPr>
          <w:sz w:val="20"/>
        </w:rPr>
        <w:t>Tendencia general al alza, con fluctuaciones:</w:t>
      </w:r>
    </w:p>
    <w:p w14:paraId="6EB39DAE" w14:textId="77777777" w:rsidR="003A6F16" w:rsidRDefault="003A6F16" w:rsidP="003A6F16">
      <w:pPr>
        <w:pStyle w:val="Heading1"/>
        <w:numPr>
          <w:ilvl w:val="0"/>
          <w:numId w:val="27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Aunque hay fluctuaciones interanuales, la mayoría de los países muestran una tendencia positiva o estable en el tiempo, lo que podría reflejar políticas públicas de inclusión laboral o mejoras institucionales.</w:t>
      </w:r>
    </w:p>
    <w:p w14:paraId="351850D0" w14:textId="0BED3974" w:rsidR="003A6F16" w:rsidRDefault="003A6F16" w:rsidP="003A6F16">
      <w:pPr>
        <w:pStyle w:val="Heading1"/>
        <w:tabs>
          <w:tab w:val="left" w:pos="376"/>
        </w:tabs>
        <w:spacing w:before="60"/>
        <w:ind w:left="360" w:firstLine="0"/>
        <w:rPr>
          <w:sz w:val="20"/>
        </w:rPr>
      </w:pPr>
      <w:r w:rsidRPr="003A6F16">
        <w:rPr>
          <w:sz w:val="20"/>
        </w:rPr>
        <w:t xml:space="preserve">1.3.2.2 </w:t>
      </w:r>
      <w:r>
        <w:rPr>
          <w:sz w:val="20"/>
        </w:rPr>
        <w:t>I</w:t>
      </w:r>
      <w:r w:rsidRPr="003A6F16">
        <w:rPr>
          <w:sz w:val="20"/>
        </w:rPr>
        <w:t>ndicador "</w:t>
      </w:r>
      <w:proofErr w:type="spellStart"/>
      <w:r w:rsidRPr="003A6F16">
        <w:rPr>
          <w:sz w:val="20"/>
        </w:rPr>
        <w:t>Females</w:t>
      </w:r>
      <w:proofErr w:type="spellEnd"/>
      <w:r w:rsidRPr="003A6F16">
        <w:rPr>
          <w:sz w:val="20"/>
        </w:rPr>
        <w:t xml:space="preserve">, as a share </w:t>
      </w:r>
      <w:proofErr w:type="spellStart"/>
      <w:r w:rsidRPr="003A6F16">
        <w:rPr>
          <w:sz w:val="20"/>
        </w:rPr>
        <w:t>of</w:t>
      </w:r>
      <w:proofErr w:type="spellEnd"/>
      <w:r w:rsidRPr="003A6F16">
        <w:rPr>
          <w:sz w:val="20"/>
        </w:rPr>
        <w:t xml:space="preserve"> </w:t>
      </w:r>
      <w:proofErr w:type="spellStart"/>
      <w:r w:rsidRPr="003A6F16">
        <w:rPr>
          <w:sz w:val="20"/>
        </w:rPr>
        <w:t>public</w:t>
      </w:r>
      <w:proofErr w:type="spellEnd"/>
      <w:r w:rsidRPr="003A6F16">
        <w:rPr>
          <w:sz w:val="20"/>
        </w:rPr>
        <w:t xml:space="preserve"> </w:t>
      </w:r>
      <w:proofErr w:type="spellStart"/>
      <w:r w:rsidRPr="003A6F16">
        <w:rPr>
          <w:sz w:val="20"/>
        </w:rPr>
        <w:t>paid</w:t>
      </w:r>
      <w:proofErr w:type="spellEnd"/>
      <w:r w:rsidRPr="003A6F16">
        <w:rPr>
          <w:sz w:val="20"/>
        </w:rPr>
        <w:t xml:space="preserve"> </w:t>
      </w:r>
      <w:proofErr w:type="spellStart"/>
      <w:r w:rsidRPr="003A6F16">
        <w:rPr>
          <w:sz w:val="20"/>
        </w:rPr>
        <w:t>employees</w:t>
      </w:r>
      <w:proofErr w:type="spellEnd"/>
      <w:r w:rsidRPr="003A6F16">
        <w:rPr>
          <w:sz w:val="20"/>
        </w:rPr>
        <w:t xml:space="preserve"> </w:t>
      </w:r>
      <w:proofErr w:type="spellStart"/>
      <w:r w:rsidRPr="003A6F16">
        <w:rPr>
          <w:sz w:val="20"/>
        </w:rPr>
        <w:t>by</w:t>
      </w:r>
      <w:proofErr w:type="spellEnd"/>
      <w:r w:rsidRPr="003A6F16">
        <w:rPr>
          <w:sz w:val="20"/>
        </w:rPr>
        <w:t xml:space="preserve"> </w:t>
      </w:r>
      <w:proofErr w:type="spellStart"/>
      <w:r w:rsidRPr="003A6F16">
        <w:rPr>
          <w:sz w:val="20"/>
        </w:rPr>
        <w:t>occupational</w:t>
      </w:r>
      <w:proofErr w:type="spellEnd"/>
      <w:r w:rsidRPr="003A6F16">
        <w:rPr>
          <w:sz w:val="20"/>
        </w:rPr>
        <w:t xml:space="preserve"> </w:t>
      </w:r>
      <w:proofErr w:type="spellStart"/>
      <w:r w:rsidRPr="003A6F16">
        <w:rPr>
          <w:sz w:val="20"/>
        </w:rPr>
        <w:t>group</w:t>
      </w:r>
      <w:proofErr w:type="spellEnd"/>
      <w:r w:rsidRPr="003A6F16">
        <w:rPr>
          <w:sz w:val="20"/>
        </w:rPr>
        <w:t>: Managers" en Ecuador en comparación con la media regional de Latinoamérica entre 2010 y 2021</w:t>
      </w:r>
    </w:p>
    <w:p w14:paraId="3B8FFAF2" w14:textId="2A31CEF9" w:rsidR="003A6F16" w:rsidRPr="003A6F16" w:rsidRDefault="003A6F16" w:rsidP="003A6F16">
      <w:pPr>
        <w:pStyle w:val="Heading1"/>
        <w:tabs>
          <w:tab w:val="left" w:pos="376"/>
        </w:tabs>
        <w:spacing w:before="60"/>
        <w:ind w:left="360" w:firstLine="0"/>
        <w:rPr>
          <w:sz w:val="20"/>
        </w:rPr>
      </w:pPr>
      <w:r w:rsidRPr="003A6F16">
        <w:rPr>
          <w:sz w:val="20"/>
        </w:rPr>
        <w:drawing>
          <wp:inline distT="0" distB="0" distL="0" distR="0" wp14:anchorId="53DDDD27" wp14:editId="68214474">
            <wp:extent cx="5943600" cy="2559050"/>
            <wp:effectExtent l="0" t="0" r="0" b="0"/>
            <wp:docPr id="40128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4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7C25" w14:textId="77777777" w:rsidR="003A6F16" w:rsidRPr="003A6F16" w:rsidRDefault="003A6F16" w:rsidP="003A6F16">
      <w:pPr>
        <w:pStyle w:val="Heading1"/>
        <w:tabs>
          <w:tab w:val="left" w:pos="376"/>
        </w:tabs>
        <w:spacing w:before="60"/>
        <w:ind w:left="719"/>
        <w:rPr>
          <w:b w:val="0"/>
          <w:bCs w:val="0"/>
          <w:sz w:val="20"/>
        </w:rPr>
      </w:pPr>
    </w:p>
    <w:p w14:paraId="5F9544E3" w14:textId="063FFE94" w:rsidR="003A6F16" w:rsidRPr="003A6F16" w:rsidRDefault="003A6F16" w:rsidP="003A6F16">
      <w:pPr>
        <w:pStyle w:val="Heading1"/>
        <w:tabs>
          <w:tab w:val="left" w:pos="376"/>
        </w:tabs>
        <w:spacing w:before="60"/>
        <w:rPr>
          <w:sz w:val="20"/>
        </w:rPr>
      </w:pPr>
      <w:r w:rsidRPr="003A6F16">
        <w:rPr>
          <w:b w:val="0"/>
          <w:bCs w:val="0"/>
          <w:sz w:val="20"/>
        </w:rPr>
        <w:t xml:space="preserve">      </w:t>
      </w:r>
      <w:r w:rsidRPr="003A6F16">
        <w:rPr>
          <w:sz w:val="20"/>
        </w:rPr>
        <w:t xml:space="preserve"> Descripción: </w:t>
      </w:r>
    </w:p>
    <w:p w14:paraId="168919DB" w14:textId="15FDE4FE" w:rsidR="003A6F16" w:rsidRDefault="003A6F16" w:rsidP="003A6F16">
      <w:pPr>
        <w:pStyle w:val="Heading1"/>
        <w:numPr>
          <w:ilvl w:val="1"/>
          <w:numId w:val="26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Variabilidad significativa en Ecuador:</w:t>
      </w:r>
    </w:p>
    <w:p w14:paraId="24B1B130" w14:textId="77777777" w:rsidR="003A6F16" w:rsidRDefault="003A6F16" w:rsidP="003A6F16">
      <w:pPr>
        <w:pStyle w:val="Heading1"/>
        <w:numPr>
          <w:ilvl w:val="1"/>
          <w:numId w:val="26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Ecuador muestra fluctuaciones marcadas a lo largo del período.</w:t>
      </w:r>
    </w:p>
    <w:p w14:paraId="7F56F5FB" w14:textId="77777777" w:rsidR="003A6F16" w:rsidRDefault="003A6F16" w:rsidP="003A6F16">
      <w:pPr>
        <w:pStyle w:val="Heading1"/>
        <w:numPr>
          <w:ilvl w:val="1"/>
          <w:numId w:val="26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En 2014, se observa una caída abrupta en la participación femenina en cargos gerenciales del sector público, seguida de una recuperación entre 2015 y 2016.</w:t>
      </w:r>
    </w:p>
    <w:p w14:paraId="71016DEF" w14:textId="77777777" w:rsidR="003A6F16" w:rsidRDefault="003A6F16" w:rsidP="003A6F16">
      <w:pPr>
        <w:pStyle w:val="Heading1"/>
        <w:numPr>
          <w:ilvl w:val="1"/>
          <w:numId w:val="26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En algunos años (2012 y 2016), Ecuador supera levemente la media regional, pero en la mayoría del período se encuentra por debajo del promedio latinoamericano.</w:t>
      </w:r>
    </w:p>
    <w:p w14:paraId="2810A424" w14:textId="2AB8076B" w:rsidR="003A6F16" w:rsidRDefault="003A6F16" w:rsidP="003A6F16">
      <w:pPr>
        <w:pStyle w:val="Heading1"/>
        <w:numPr>
          <w:ilvl w:val="1"/>
          <w:numId w:val="26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>Especialmente en 2014 y 2017, la brecha con la media regional es notable.</w:t>
      </w:r>
    </w:p>
    <w:p w14:paraId="4AF25DF5" w14:textId="4B375FC8" w:rsidR="003A6F16" w:rsidRPr="003A6F16" w:rsidRDefault="003A6F16" w:rsidP="003A6F16">
      <w:pPr>
        <w:pStyle w:val="Heading1"/>
        <w:numPr>
          <w:ilvl w:val="1"/>
          <w:numId w:val="26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3A6F16">
        <w:rPr>
          <w:b w:val="0"/>
          <w:bCs w:val="0"/>
          <w:sz w:val="20"/>
        </w:rPr>
        <w:t xml:space="preserve">La media regional es más estable que la de Ecuador y presenta una tendencia leve </w:t>
      </w:r>
      <w:r w:rsidRPr="003A6F16">
        <w:rPr>
          <w:b w:val="0"/>
          <w:bCs w:val="0"/>
          <w:sz w:val="20"/>
        </w:rPr>
        <w:lastRenderedPageBreak/>
        <w:t>al alza hasta 2019, con una caída en 2020 que probablemente se relacione con efectos de la pandemia.</w:t>
      </w:r>
    </w:p>
    <w:p w14:paraId="4F78CA25" w14:textId="77777777" w:rsidR="003A6F16" w:rsidRDefault="003A6F16" w:rsidP="003A6F16">
      <w:pPr>
        <w:pStyle w:val="Heading1"/>
        <w:tabs>
          <w:tab w:val="left" w:pos="376"/>
        </w:tabs>
        <w:spacing w:before="60"/>
        <w:ind w:left="0" w:firstLine="0"/>
        <w:rPr>
          <w:sz w:val="20"/>
        </w:rPr>
      </w:pPr>
    </w:p>
    <w:p w14:paraId="76A870B6" w14:textId="06FC283A" w:rsidR="003A6F16" w:rsidRDefault="003A6F16" w:rsidP="003A6F16">
      <w:pPr>
        <w:pStyle w:val="Heading1"/>
        <w:tabs>
          <w:tab w:val="left" w:pos="376"/>
        </w:tabs>
        <w:spacing w:before="60"/>
        <w:ind w:left="719" w:firstLine="0"/>
        <w:rPr>
          <w:sz w:val="20"/>
        </w:rPr>
      </w:pPr>
      <w:r>
        <w:rPr>
          <w:sz w:val="20"/>
        </w:rPr>
        <w:t>Nota</w:t>
      </w:r>
      <w:r w:rsidRPr="003A6F16">
        <w:rPr>
          <w:b w:val="0"/>
          <w:bCs w:val="0"/>
          <w:sz w:val="20"/>
        </w:rPr>
        <w:t>: las gráficas restantes se pueden observar directamente en el notebook</w:t>
      </w:r>
    </w:p>
    <w:p w14:paraId="2874B451" w14:textId="77777777" w:rsidR="00411568" w:rsidRDefault="00411568" w:rsidP="00411568">
      <w:pPr>
        <w:pStyle w:val="Heading1"/>
        <w:tabs>
          <w:tab w:val="left" w:pos="376"/>
        </w:tabs>
        <w:spacing w:before="60"/>
        <w:rPr>
          <w:sz w:val="20"/>
        </w:rPr>
      </w:pPr>
    </w:p>
    <w:p w14:paraId="7C6671E4" w14:textId="42D081B0" w:rsidR="00411568" w:rsidRDefault="00411568" w:rsidP="00411568">
      <w:pPr>
        <w:pStyle w:val="Heading1"/>
        <w:numPr>
          <w:ilvl w:val="2"/>
          <w:numId w:val="21"/>
        </w:numPr>
        <w:tabs>
          <w:tab w:val="left" w:pos="376"/>
        </w:tabs>
        <w:spacing w:before="60"/>
        <w:rPr>
          <w:sz w:val="20"/>
        </w:rPr>
      </w:pPr>
      <w:proofErr w:type="spellStart"/>
      <w:r>
        <w:rPr>
          <w:sz w:val="20"/>
        </w:rPr>
        <w:t>Outliers</w:t>
      </w:r>
      <w:proofErr w:type="spellEnd"/>
      <w:r>
        <w:rPr>
          <w:sz w:val="20"/>
        </w:rPr>
        <w:t>:</w:t>
      </w:r>
    </w:p>
    <w:p w14:paraId="540C13B4" w14:textId="77777777" w:rsidR="00411568" w:rsidRDefault="00411568" w:rsidP="00411568">
      <w:pPr>
        <w:pStyle w:val="ListParagraph"/>
        <w:rPr>
          <w:sz w:val="20"/>
        </w:rPr>
      </w:pPr>
    </w:p>
    <w:p w14:paraId="1893E798" w14:textId="499DAFCC" w:rsidR="00C926A1" w:rsidRDefault="00C926A1" w:rsidP="00C926A1">
      <w:pPr>
        <w:pStyle w:val="Heading1"/>
        <w:numPr>
          <w:ilvl w:val="3"/>
          <w:numId w:val="21"/>
        </w:numPr>
        <w:tabs>
          <w:tab w:val="left" w:pos="376"/>
        </w:tabs>
        <w:spacing w:before="60"/>
        <w:rPr>
          <w:sz w:val="20"/>
        </w:rPr>
      </w:pPr>
      <w:proofErr w:type="spellStart"/>
      <w:r w:rsidRPr="00C926A1">
        <w:rPr>
          <w:sz w:val="20"/>
        </w:rPr>
        <w:t>Female</w:t>
      </w:r>
      <w:proofErr w:type="spellEnd"/>
      <w:r w:rsidRPr="00C926A1">
        <w:rPr>
          <w:sz w:val="20"/>
        </w:rPr>
        <w:t xml:space="preserve"> </w:t>
      </w:r>
      <w:proofErr w:type="spellStart"/>
      <w:r w:rsidRPr="00C926A1">
        <w:rPr>
          <w:sz w:val="20"/>
        </w:rPr>
        <w:t>to</w:t>
      </w:r>
      <w:proofErr w:type="spellEnd"/>
      <w:r w:rsidRPr="00C926A1">
        <w:rPr>
          <w:sz w:val="20"/>
        </w:rPr>
        <w:t xml:space="preserve"> male </w:t>
      </w:r>
      <w:proofErr w:type="spellStart"/>
      <w:r w:rsidRPr="00C926A1">
        <w:rPr>
          <w:sz w:val="20"/>
        </w:rPr>
        <w:t>wage</w:t>
      </w:r>
      <w:proofErr w:type="spellEnd"/>
      <w:r w:rsidRPr="00C926A1">
        <w:rPr>
          <w:sz w:val="20"/>
        </w:rPr>
        <w:t xml:space="preserve"> ratio in </w:t>
      </w:r>
      <w:proofErr w:type="spellStart"/>
      <w:r w:rsidRPr="00C926A1">
        <w:rPr>
          <w:sz w:val="20"/>
        </w:rPr>
        <w:t>the</w:t>
      </w:r>
      <w:proofErr w:type="spellEnd"/>
      <w:r w:rsidRPr="00C926A1">
        <w:rPr>
          <w:sz w:val="20"/>
        </w:rPr>
        <w:t xml:space="preserve"> </w:t>
      </w:r>
      <w:proofErr w:type="spellStart"/>
      <w:r w:rsidRPr="00C926A1">
        <w:rPr>
          <w:sz w:val="20"/>
        </w:rPr>
        <w:t>public</w:t>
      </w:r>
      <w:proofErr w:type="spellEnd"/>
      <w:r w:rsidRPr="00C926A1">
        <w:rPr>
          <w:sz w:val="20"/>
        </w:rPr>
        <w:t xml:space="preserve"> sector (</w:t>
      </w:r>
      <w:proofErr w:type="spellStart"/>
      <w:r w:rsidRPr="00C926A1">
        <w:rPr>
          <w:sz w:val="20"/>
        </w:rPr>
        <w:t>using</w:t>
      </w:r>
      <w:proofErr w:type="spellEnd"/>
      <w:r w:rsidRPr="00C926A1">
        <w:rPr>
          <w:sz w:val="20"/>
        </w:rPr>
        <w:t xml:space="preserve"> mean)" en el año 2015 para países de Latinoamérica.</w:t>
      </w:r>
    </w:p>
    <w:p w14:paraId="7B6E180D" w14:textId="43DBEC30" w:rsidR="00C926A1" w:rsidRPr="00C926A1" w:rsidRDefault="00C926A1" w:rsidP="00C926A1">
      <w:pPr>
        <w:pStyle w:val="Heading1"/>
        <w:tabs>
          <w:tab w:val="left" w:pos="376"/>
        </w:tabs>
        <w:spacing w:before="60"/>
        <w:ind w:left="719" w:firstLine="0"/>
        <w:rPr>
          <w:sz w:val="20"/>
        </w:rPr>
      </w:pPr>
      <w:r w:rsidRPr="00C926A1">
        <w:rPr>
          <w:sz w:val="20"/>
        </w:rPr>
        <w:drawing>
          <wp:inline distT="0" distB="0" distL="0" distR="0" wp14:anchorId="6700B631" wp14:editId="5A380AF6">
            <wp:extent cx="5943600" cy="3502025"/>
            <wp:effectExtent l="0" t="0" r="0" b="3175"/>
            <wp:docPr id="1717765091" name="Picture 1" descr="A graph with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65091" name="Picture 1" descr="A graph with a blue rectang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F728" w14:textId="77777777" w:rsidR="00411568" w:rsidRPr="006C7098" w:rsidRDefault="00411568" w:rsidP="00411568">
      <w:pPr>
        <w:pStyle w:val="Heading1"/>
        <w:tabs>
          <w:tab w:val="left" w:pos="376"/>
        </w:tabs>
        <w:spacing w:before="60"/>
        <w:rPr>
          <w:sz w:val="20"/>
        </w:rPr>
      </w:pPr>
    </w:p>
    <w:p w14:paraId="27DC95FA" w14:textId="45F1E9AB" w:rsidR="00721282" w:rsidRPr="00C926A1" w:rsidRDefault="00C926A1" w:rsidP="00721282">
      <w:pPr>
        <w:pStyle w:val="Heading1"/>
        <w:tabs>
          <w:tab w:val="left" w:pos="376"/>
        </w:tabs>
        <w:spacing w:before="60"/>
        <w:rPr>
          <w:sz w:val="20"/>
        </w:rPr>
      </w:pPr>
      <w:r w:rsidRPr="00C926A1">
        <w:rPr>
          <w:sz w:val="20"/>
        </w:rPr>
        <w:t xml:space="preserve">Descripción: </w:t>
      </w:r>
    </w:p>
    <w:p w14:paraId="05E174F8" w14:textId="77777777" w:rsidR="00C926A1" w:rsidRPr="00C926A1" w:rsidRDefault="00C926A1" w:rsidP="00C926A1">
      <w:pPr>
        <w:pStyle w:val="Heading1"/>
        <w:numPr>
          <w:ilvl w:val="0"/>
          <w:numId w:val="32"/>
        </w:numPr>
        <w:tabs>
          <w:tab w:val="left" w:pos="376"/>
        </w:tabs>
        <w:spacing w:before="60"/>
        <w:rPr>
          <w:sz w:val="20"/>
        </w:rPr>
      </w:pPr>
      <w:r w:rsidRPr="00C926A1">
        <w:rPr>
          <w:sz w:val="20"/>
        </w:rPr>
        <w:t>Relación salarial femenina promedio por debajo de la paridad:</w:t>
      </w:r>
    </w:p>
    <w:p w14:paraId="35510EC2" w14:textId="77777777" w:rsidR="00C926A1" w:rsidRPr="00C926A1" w:rsidRDefault="00C926A1" w:rsidP="00C926A1">
      <w:pPr>
        <w:pStyle w:val="Heading1"/>
        <w:numPr>
          <w:ilvl w:val="1"/>
          <w:numId w:val="32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C926A1">
        <w:rPr>
          <w:b w:val="0"/>
          <w:bCs w:val="0"/>
          <w:sz w:val="20"/>
        </w:rPr>
        <w:t>La mediana de la razón salario mujer/hombre en el sector público está por debajo de 1, lo que indica que, en promedio, las mujeres ganan menos que los hombres en la mayoría de los países.</w:t>
      </w:r>
    </w:p>
    <w:p w14:paraId="01AFF8F4" w14:textId="77777777" w:rsidR="00C926A1" w:rsidRPr="00C926A1" w:rsidRDefault="00C926A1" w:rsidP="00C926A1">
      <w:pPr>
        <w:pStyle w:val="Heading1"/>
        <w:numPr>
          <w:ilvl w:val="0"/>
          <w:numId w:val="32"/>
        </w:numPr>
        <w:tabs>
          <w:tab w:val="left" w:pos="376"/>
        </w:tabs>
        <w:spacing w:before="60"/>
        <w:rPr>
          <w:sz w:val="20"/>
        </w:rPr>
      </w:pPr>
      <w:r w:rsidRPr="00C926A1">
        <w:rPr>
          <w:sz w:val="20"/>
        </w:rPr>
        <w:t>Desigualdad salarial entre países:</w:t>
      </w:r>
    </w:p>
    <w:p w14:paraId="56EE5F43" w14:textId="77777777" w:rsidR="00C926A1" w:rsidRPr="00C926A1" w:rsidRDefault="00C926A1" w:rsidP="00C926A1">
      <w:pPr>
        <w:pStyle w:val="Heading1"/>
        <w:numPr>
          <w:ilvl w:val="1"/>
          <w:numId w:val="32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C926A1">
        <w:rPr>
          <w:b w:val="0"/>
          <w:bCs w:val="0"/>
          <w:sz w:val="20"/>
        </w:rPr>
        <w:t xml:space="preserve">Países como Brasil (BRA) y Chile (CHL) tienen </w:t>
      </w:r>
      <w:proofErr w:type="gramStart"/>
      <w:r w:rsidRPr="00C926A1">
        <w:rPr>
          <w:b w:val="0"/>
          <w:bCs w:val="0"/>
          <w:sz w:val="20"/>
        </w:rPr>
        <w:t>ratios cercanos</w:t>
      </w:r>
      <w:proofErr w:type="gramEnd"/>
      <w:r w:rsidRPr="00C926A1">
        <w:rPr>
          <w:b w:val="0"/>
          <w:bCs w:val="0"/>
          <w:sz w:val="20"/>
        </w:rPr>
        <w:t xml:space="preserve"> a 0.75, lo cual evidencia una brecha salarial significativa.</w:t>
      </w:r>
    </w:p>
    <w:p w14:paraId="11C97725" w14:textId="77777777" w:rsidR="00C926A1" w:rsidRPr="00C926A1" w:rsidRDefault="00C926A1" w:rsidP="00C926A1">
      <w:pPr>
        <w:pStyle w:val="Heading1"/>
        <w:numPr>
          <w:ilvl w:val="1"/>
          <w:numId w:val="32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C926A1">
        <w:rPr>
          <w:b w:val="0"/>
          <w:bCs w:val="0"/>
          <w:sz w:val="20"/>
        </w:rPr>
        <w:t xml:space="preserve">En contraste, la República Dominicana (DOM) aparece como un </w:t>
      </w:r>
      <w:proofErr w:type="spellStart"/>
      <w:r w:rsidRPr="00C926A1">
        <w:rPr>
          <w:b w:val="0"/>
          <w:bCs w:val="0"/>
          <w:sz w:val="20"/>
        </w:rPr>
        <w:t>outlier</w:t>
      </w:r>
      <w:proofErr w:type="spellEnd"/>
      <w:r w:rsidRPr="00C926A1">
        <w:rPr>
          <w:b w:val="0"/>
          <w:bCs w:val="0"/>
          <w:sz w:val="20"/>
        </w:rPr>
        <w:t xml:space="preserve"> positivo, con una razón superior a 1.2, lo que indica que las mujeres ganaron más que los hombres en promedio ese año.</w:t>
      </w:r>
    </w:p>
    <w:p w14:paraId="78EC7CD6" w14:textId="77777777" w:rsidR="00C926A1" w:rsidRPr="00C926A1" w:rsidRDefault="00C926A1" w:rsidP="00C926A1">
      <w:pPr>
        <w:pStyle w:val="Heading1"/>
        <w:numPr>
          <w:ilvl w:val="0"/>
          <w:numId w:val="32"/>
        </w:numPr>
        <w:tabs>
          <w:tab w:val="left" w:pos="376"/>
        </w:tabs>
        <w:spacing w:before="60"/>
        <w:rPr>
          <w:sz w:val="20"/>
        </w:rPr>
      </w:pPr>
      <w:r w:rsidRPr="00C926A1">
        <w:rPr>
          <w:sz w:val="20"/>
        </w:rPr>
        <w:t>Distribución relativamente concentrada:</w:t>
      </w:r>
    </w:p>
    <w:p w14:paraId="237E1900" w14:textId="77777777" w:rsidR="00C926A1" w:rsidRPr="00C926A1" w:rsidRDefault="00C926A1" w:rsidP="00C926A1">
      <w:pPr>
        <w:pStyle w:val="Heading1"/>
        <w:numPr>
          <w:ilvl w:val="1"/>
          <w:numId w:val="32"/>
        </w:numPr>
        <w:tabs>
          <w:tab w:val="left" w:pos="376"/>
        </w:tabs>
        <w:spacing w:before="60"/>
        <w:rPr>
          <w:b w:val="0"/>
          <w:bCs w:val="0"/>
          <w:sz w:val="20"/>
        </w:rPr>
      </w:pPr>
      <w:r w:rsidRPr="00C926A1">
        <w:rPr>
          <w:b w:val="0"/>
          <w:bCs w:val="0"/>
          <w:sz w:val="20"/>
        </w:rPr>
        <w:t>La mayoría de los países se agrupan entre valores de 0.85 y 1.0, indicando cierto grado de consistencia en la desigualdad salarial dentro de la región, aunque sin alcanzar paridad.</w:t>
      </w:r>
    </w:p>
    <w:p w14:paraId="3791E732" w14:textId="77777777" w:rsidR="00C926A1" w:rsidRPr="00C926A1" w:rsidRDefault="00C926A1" w:rsidP="00C926A1">
      <w:pPr>
        <w:pStyle w:val="Heading1"/>
        <w:numPr>
          <w:ilvl w:val="0"/>
          <w:numId w:val="32"/>
        </w:numPr>
        <w:tabs>
          <w:tab w:val="left" w:pos="376"/>
        </w:tabs>
        <w:spacing w:before="60"/>
        <w:rPr>
          <w:sz w:val="20"/>
        </w:rPr>
      </w:pPr>
      <w:r w:rsidRPr="00C926A1">
        <w:rPr>
          <w:sz w:val="20"/>
        </w:rPr>
        <w:t>Países por debajo de 0.9:</w:t>
      </w:r>
    </w:p>
    <w:p w14:paraId="735F4CF7" w14:textId="77777777" w:rsidR="00C926A1" w:rsidRPr="00C926A1" w:rsidRDefault="00C926A1" w:rsidP="00C926A1">
      <w:pPr>
        <w:pStyle w:val="Heading1"/>
        <w:numPr>
          <w:ilvl w:val="1"/>
          <w:numId w:val="32"/>
        </w:numPr>
        <w:tabs>
          <w:tab w:val="left" w:pos="376"/>
        </w:tabs>
        <w:spacing w:before="60"/>
        <w:rPr>
          <w:sz w:val="20"/>
        </w:rPr>
      </w:pPr>
      <w:r w:rsidRPr="00C926A1">
        <w:rPr>
          <w:b w:val="0"/>
          <w:bCs w:val="0"/>
          <w:sz w:val="20"/>
        </w:rPr>
        <w:t xml:space="preserve">Bolivia (BOL), Perú (PER), Paraguay (PRY), entre otros, están por debajo de 0.9, lo que </w:t>
      </w:r>
      <w:r w:rsidRPr="00C926A1">
        <w:rPr>
          <w:b w:val="0"/>
          <w:bCs w:val="0"/>
          <w:sz w:val="20"/>
        </w:rPr>
        <w:lastRenderedPageBreak/>
        <w:t>refleja una brecha persistente y preocupante</w:t>
      </w:r>
      <w:r w:rsidRPr="00C926A1">
        <w:rPr>
          <w:sz w:val="20"/>
        </w:rPr>
        <w:t>.</w:t>
      </w:r>
    </w:p>
    <w:p w14:paraId="0827FFC7" w14:textId="77777777" w:rsidR="00C926A1" w:rsidRPr="00C926A1" w:rsidRDefault="00C926A1" w:rsidP="00721282">
      <w:pPr>
        <w:pStyle w:val="Heading1"/>
        <w:tabs>
          <w:tab w:val="left" w:pos="376"/>
        </w:tabs>
        <w:spacing w:before="60"/>
        <w:rPr>
          <w:b w:val="0"/>
          <w:bCs w:val="0"/>
          <w:sz w:val="20"/>
        </w:rPr>
      </w:pPr>
    </w:p>
    <w:p w14:paraId="54726658" w14:textId="78BA30A7" w:rsidR="00721282" w:rsidRDefault="00A96B1E" w:rsidP="00721282">
      <w:pPr>
        <w:pStyle w:val="Heading1"/>
        <w:tabs>
          <w:tab w:val="left" w:pos="376"/>
        </w:tabs>
        <w:spacing w:before="60"/>
        <w:rPr>
          <w:sz w:val="20"/>
        </w:rPr>
      </w:pPr>
      <w:r w:rsidRPr="00A96B1E">
        <w:rPr>
          <w:sz w:val="20"/>
        </w:rPr>
        <w:t>1.</w:t>
      </w:r>
      <w:r w:rsidR="00721282" w:rsidRPr="00721282">
        <w:rPr>
          <w:sz w:val="20"/>
        </w:rPr>
        <w:t>4. Plan de limpieza y manipulación de datos (Data Wrangling)</w:t>
      </w:r>
    </w:p>
    <w:p w14:paraId="1D3972FE" w14:textId="317A4F90" w:rsidR="00C926A1" w:rsidRPr="00C926A1" w:rsidRDefault="00C926A1" w:rsidP="00C926A1">
      <w:pPr>
        <w:jc w:val="both"/>
      </w:pPr>
      <w:r w:rsidRPr="00C926A1">
        <w:t xml:space="preserve">Notebook para limpieza y tratamiento de datos del </w:t>
      </w:r>
      <w:proofErr w:type="spellStart"/>
      <w:r w:rsidRPr="00C926A1">
        <w:t>dataset</w:t>
      </w:r>
      <w:proofErr w:type="spellEnd"/>
      <w:r w:rsidRPr="00C926A1">
        <w:t xml:space="preserve"> de indicadores de género en </w:t>
      </w:r>
      <w:proofErr w:type="spellStart"/>
      <w:r w:rsidRPr="00C926A1">
        <w:t>LATAM.Cada</w:t>
      </w:r>
      <w:proofErr w:type="spellEnd"/>
      <w:r w:rsidRPr="00C926A1">
        <w:t xml:space="preserve"> fila del </w:t>
      </w:r>
      <w:proofErr w:type="spellStart"/>
      <w:r w:rsidRPr="00C926A1">
        <w:t>dataset</w:t>
      </w:r>
      <w:proofErr w:type="spellEnd"/>
      <w:r w:rsidRPr="00C926A1">
        <w:t xml:space="preserve"> representa una serie temporal asociada a un indicador particular para un país, con valores anuales desde el año 2000 hasta el 2017. El objetivo principal es limpiar el </w:t>
      </w:r>
      <w:proofErr w:type="spellStart"/>
      <w:r w:rsidRPr="00C926A1">
        <w:t>dataset</w:t>
      </w:r>
      <w:proofErr w:type="spellEnd"/>
      <w:r w:rsidRPr="00C926A1">
        <w:t xml:space="preserve"> eliminando columnas y filas no informativas, y luego aplicar imputación por regresión lineal sobre las series temporales incompletas.</w:t>
      </w:r>
    </w:p>
    <w:p w14:paraId="3FFD4594" w14:textId="2D550B8F" w:rsidR="00C926A1" w:rsidRPr="00C926A1" w:rsidRDefault="00C926A1" w:rsidP="00C926A1">
      <w:pPr>
        <w:jc w:val="both"/>
      </w:pPr>
      <w:r w:rsidRPr="00C926A1">
        <w:t xml:space="preserve">Esta notebook asume que el archivo df_latam_genero.csv está en la </w:t>
      </w:r>
      <w:proofErr w:type="gramStart"/>
      <w:r w:rsidRPr="00C926A1">
        <w:t>carpeta .</w:t>
      </w:r>
      <w:proofErr w:type="gramEnd"/>
      <w:hyperlink r:id="rId11" w:history="1">
        <w:r w:rsidRPr="00C926A1">
          <w:rPr>
            <w:rStyle w:val="Hyperlink"/>
            <w:sz w:val="20"/>
          </w:rPr>
          <w:t>/data/</w:t>
        </w:r>
        <w:proofErr w:type="spellStart"/>
        <w:r w:rsidRPr="00C926A1">
          <w:rPr>
            <w:rStyle w:val="Hyperlink"/>
            <w:sz w:val="20"/>
          </w:rPr>
          <w:t>clean</w:t>
        </w:r>
        <w:proofErr w:type="spellEnd"/>
        <w:r w:rsidRPr="00C926A1">
          <w:rPr>
            <w:rStyle w:val="Hyperlink"/>
            <w:sz w:val="20"/>
          </w:rPr>
          <w:t>/parciales</w:t>
        </w:r>
      </w:hyperlink>
      <w:r w:rsidRPr="00C926A1">
        <w:t>/</w:t>
      </w:r>
    </w:p>
    <w:p w14:paraId="4EC37C45" w14:textId="15027360" w:rsidR="006C7098" w:rsidRDefault="006C7098" w:rsidP="00721282">
      <w:pPr>
        <w:pStyle w:val="Heading1"/>
        <w:tabs>
          <w:tab w:val="left" w:pos="376"/>
        </w:tabs>
        <w:spacing w:before="60"/>
        <w:rPr>
          <w:sz w:val="20"/>
        </w:rPr>
      </w:pPr>
    </w:p>
    <w:p w14:paraId="1FE009A8" w14:textId="11B53EAE" w:rsidR="00C926A1" w:rsidRPr="00721282" w:rsidRDefault="00C926A1" w:rsidP="00721282">
      <w:pPr>
        <w:pStyle w:val="Heading1"/>
        <w:tabs>
          <w:tab w:val="left" w:pos="376"/>
        </w:tabs>
        <w:spacing w:before="60"/>
        <w:rPr>
          <w:sz w:val="20"/>
        </w:rPr>
      </w:pPr>
      <w:r>
        <w:rPr>
          <w:sz w:val="20"/>
        </w:rPr>
        <w:t>Nota</w:t>
      </w:r>
      <w:r w:rsidRPr="00C926A1">
        <w:rPr>
          <w:b w:val="0"/>
          <w:bCs w:val="0"/>
          <w:sz w:val="20"/>
        </w:rPr>
        <w:t xml:space="preserve">: el detalle se encuentra en la notebook: </w:t>
      </w:r>
      <w:r w:rsidRPr="00C926A1">
        <w:rPr>
          <w:b w:val="0"/>
          <w:bCs w:val="0"/>
          <w:sz w:val="20"/>
        </w:rPr>
        <w:t>02_DataWrangling.ipynb</w:t>
      </w:r>
    </w:p>
    <w:p w14:paraId="0A71DAD4" w14:textId="424E2264" w:rsidR="00F84638" w:rsidRDefault="00A96B1E" w:rsidP="00A96B1E">
      <w:pPr>
        <w:pStyle w:val="BodyText"/>
        <w:spacing w:before="166"/>
        <w:rPr>
          <w:b/>
          <w:bCs/>
          <w:sz w:val="20"/>
        </w:rPr>
      </w:pPr>
      <w:bookmarkStart w:id="1" w:name="2._Propuesta_y_Organización_CRISP-DM_"/>
      <w:bookmarkEnd w:id="1"/>
      <w:r w:rsidRPr="00A96B1E">
        <w:rPr>
          <w:b/>
          <w:bCs/>
          <w:sz w:val="20"/>
        </w:rPr>
        <w:t xml:space="preserve">1.5 </w:t>
      </w:r>
      <w:proofErr w:type="spellStart"/>
      <w:r w:rsidRPr="00A96B1E">
        <w:rPr>
          <w:b/>
          <w:bCs/>
          <w:sz w:val="20"/>
        </w:rPr>
        <w:t>Estructuctura</w:t>
      </w:r>
      <w:proofErr w:type="spellEnd"/>
      <w:r w:rsidRPr="00A96B1E">
        <w:rPr>
          <w:b/>
          <w:bCs/>
          <w:sz w:val="20"/>
        </w:rPr>
        <w:t xml:space="preserve"> del repositorio de GitHub</w:t>
      </w:r>
    </w:p>
    <w:p w14:paraId="565B0E52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WWBI_InclusionFinanciera/</w:t>
      </w:r>
    </w:p>
    <w:p w14:paraId="7E4146F6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</w:t>
      </w:r>
    </w:p>
    <w:p w14:paraId="294C5024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├── data/</w:t>
      </w:r>
    </w:p>
    <w:p w14:paraId="6FAB49D2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├── raw/               &lt;- Datos originales de WWBI</w:t>
      </w:r>
    </w:p>
    <w:p w14:paraId="193BE7D7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├── clean/             &lt;- Datos con imputación inicial</w:t>
      </w:r>
    </w:p>
    <w:p w14:paraId="2A39E1F9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└── curated/           &lt;- Datos listos para análisis y modelado</w:t>
      </w:r>
    </w:p>
    <w:p w14:paraId="099ED026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</w:t>
      </w:r>
    </w:p>
    <w:p w14:paraId="2CA3E83F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├── notebooks/</w:t>
      </w:r>
    </w:p>
    <w:p w14:paraId="27117355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├── 01_EDA.ipynb</w:t>
      </w:r>
    </w:p>
    <w:p w14:paraId="6382516E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└── 02_DataWrangling.ipynb</w:t>
      </w:r>
    </w:p>
    <w:p w14:paraId="197AC2BA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</w:t>
      </w:r>
    </w:p>
    <w:p w14:paraId="158D2447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├── src/</w:t>
      </w:r>
    </w:p>
    <w:p w14:paraId="62B56EF0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├── data_prep.py</w:t>
      </w:r>
    </w:p>
    <w:p w14:paraId="656DE166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└── utils.py</w:t>
      </w:r>
    </w:p>
    <w:p w14:paraId="436CFBB1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</w:t>
      </w:r>
    </w:p>
    <w:p w14:paraId="470095E2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├── reports/</w:t>
      </w:r>
    </w:p>
    <w:p w14:paraId="7C82DE1B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├── figures/</w:t>
      </w:r>
    </w:p>
    <w:p w14:paraId="438FBE4D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   └── reporte.pdf</w:t>
      </w:r>
    </w:p>
    <w:p w14:paraId="7C8459A0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│</w:t>
      </w:r>
    </w:p>
    <w:p w14:paraId="7C6F3E2A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├── README.md</w:t>
      </w:r>
    </w:p>
    <w:p w14:paraId="52B0D8F4" w14:textId="77777777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├── .gitignore</w:t>
      </w:r>
    </w:p>
    <w:p w14:paraId="2FD750C8" w14:textId="657FE0AE" w:rsidR="00A96B1E" w:rsidRPr="00A96B1E" w:rsidRDefault="00A96B1E" w:rsidP="00A96B1E">
      <w:pPr>
        <w:pStyle w:val="BodyText"/>
        <w:spacing w:before="166"/>
        <w:rPr>
          <w:sz w:val="20"/>
        </w:rPr>
      </w:pPr>
      <w:r w:rsidRPr="00A96B1E">
        <w:rPr>
          <w:sz w:val="20"/>
        </w:rPr>
        <w:t>└── requirements.txt</w:t>
      </w:r>
    </w:p>
    <w:p w14:paraId="5761E8C8" w14:textId="6079FECA" w:rsidR="00F84638" w:rsidRPr="00411568" w:rsidRDefault="00F84638" w:rsidP="00411568">
      <w:pPr>
        <w:pStyle w:val="BodyText"/>
        <w:spacing w:line="20" w:lineRule="exact"/>
        <w:rPr>
          <w:sz w:val="2"/>
        </w:rPr>
      </w:pPr>
      <w:bookmarkStart w:id="2" w:name="6._Entregables_"/>
      <w:bookmarkEnd w:id="2"/>
    </w:p>
    <w:sectPr w:rsidR="00F84638" w:rsidRPr="00411568">
      <w:headerReference w:type="default" r:id="rId12"/>
      <w:footerReference w:type="default" r:id="rId13"/>
      <w:pgSz w:w="12240" w:h="15840"/>
      <w:pgMar w:top="136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9F0F0" w14:textId="77777777" w:rsidR="00305A39" w:rsidRDefault="00305A39" w:rsidP="00DE1D73">
      <w:r>
        <w:separator/>
      </w:r>
    </w:p>
  </w:endnote>
  <w:endnote w:type="continuationSeparator" w:id="0">
    <w:p w14:paraId="4123D482" w14:textId="77777777" w:rsidR="00305A39" w:rsidRDefault="00305A39" w:rsidP="00DE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14B27" w14:textId="64BB1C50" w:rsidR="006C7098" w:rsidRDefault="006C7098">
    <w:pPr>
      <w:pStyle w:val="Footer"/>
    </w:pPr>
    <w:r>
      <w:t>Carla Parra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DAEC4" w14:textId="77777777" w:rsidR="00305A39" w:rsidRDefault="00305A39" w:rsidP="00DE1D73">
      <w:r>
        <w:separator/>
      </w:r>
    </w:p>
  </w:footnote>
  <w:footnote w:type="continuationSeparator" w:id="0">
    <w:p w14:paraId="416BE68C" w14:textId="77777777" w:rsidR="00305A39" w:rsidRDefault="00305A39" w:rsidP="00DE1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5FAFE" w14:textId="38860D0D" w:rsidR="00DE1D73" w:rsidRDefault="006C7098" w:rsidP="006C7098">
    <w:pPr>
      <w:pStyle w:val="Header"/>
      <w:jc w:val="center"/>
      <w:rPr>
        <w:b/>
        <w:bCs/>
      </w:rPr>
    </w:pPr>
    <w:r w:rsidRPr="006C7098">
      <w:rPr>
        <w:b/>
        <w:bCs/>
      </w:rPr>
      <w:drawing>
        <wp:inline distT="0" distB="0" distL="0" distR="0" wp14:anchorId="09AF869D" wp14:editId="72B0F5B9">
          <wp:extent cx="678852" cy="637958"/>
          <wp:effectExtent l="0" t="0" r="6985" b="0"/>
          <wp:docPr id="3561462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614625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9857" cy="648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C2984A" w14:textId="0FAEB4CB" w:rsidR="00DE1D73" w:rsidRPr="00DE1D73" w:rsidRDefault="00DE1D73" w:rsidP="00DE1D73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8D4"/>
    <w:multiLevelType w:val="multilevel"/>
    <w:tmpl w:val="539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F5F07"/>
    <w:multiLevelType w:val="multilevel"/>
    <w:tmpl w:val="AD4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2488"/>
    <w:multiLevelType w:val="multilevel"/>
    <w:tmpl w:val="481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B6646"/>
    <w:multiLevelType w:val="hybridMultilevel"/>
    <w:tmpl w:val="8C28838C"/>
    <w:lvl w:ilvl="0" w:tplc="1A8E301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F086C840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E8DA8CAA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D98C6A2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FB904A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99BC45C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621E9FD8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AD3EA35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1EB4552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E6161A"/>
    <w:multiLevelType w:val="multilevel"/>
    <w:tmpl w:val="3452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611AC"/>
    <w:multiLevelType w:val="hybridMultilevel"/>
    <w:tmpl w:val="3D9CFD52"/>
    <w:lvl w:ilvl="0" w:tplc="E24E85F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546E81DA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0186C23E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4D506074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A232E14C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B888ABA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CACEED1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B798EAF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AD3448C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04A6E5D"/>
    <w:multiLevelType w:val="hybridMultilevel"/>
    <w:tmpl w:val="50A89CB8"/>
    <w:lvl w:ilvl="0" w:tplc="C0E8282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2E6A6B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14708A84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7D26B324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240A0EE4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A21EC8F8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8EF4AEE8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A8ECD41A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7CC875FE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C13081F"/>
    <w:multiLevelType w:val="multilevel"/>
    <w:tmpl w:val="625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411A1"/>
    <w:multiLevelType w:val="hybridMultilevel"/>
    <w:tmpl w:val="E890954E"/>
    <w:lvl w:ilvl="0" w:tplc="76C85BF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AB48A8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612E7C30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ABC64CD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723CE642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0E1A59C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BF00F252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D70A2098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B5286514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EBE5D87"/>
    <w:multiLevelType w:val="hybridMultilevel"/>
    <w:tmpl w:val="B538CC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4D6D36"/>
    <w:multiLevelType w:val="hybridMultilevel"/>
    <w:tmpl w:val="E0BE6C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E4D65"/>
    <w:multiLevelType w:val="multilevel"/>
    <w:tmpl w:val="40426EF8"/>
    <w:lvl w:ilvl="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7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99" w:hanging="1800"/>
      </w:pPr>
      <w:rPr>
        <w:rFonts w:hint="default"/>
      </w:rPr>
    </w:lvl>
  </w:abstractNum>
  <w:abstractNum w:abstractNumId="12" w15:restartNumberingAfterBreak="0">
    <w:nsid w:val="37974E43"/>
    <w:multiLevelType w:val="multilevel"/>
    <w:tmpl w:val="6492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63733"/>
    <w:multiLevelType w:val="multilevel"/>
    <w:tmpl w:val="F60CF32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3CC2D33"/>
    <w:multiLevelType w:val="multilevel"/>
    <w:tmpl w:val="52C23332"/>
    <w:lvl w:ilvl="0">
      <w:start w:val="1"/>
      <w:numFmt w:val="decimal"/>
      <w:lvlText w:val="%1."/>
      <w:lvlJc w:val="left"/>
      <w:pPr>
        <w:ind w:left="377" w:hanging="3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44F5531"/>
    <w:multiLevelType w:val="multilevel"/>
    <w:tmpl w:val="266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B3A"/>
    <w:multiLevelType w:val="multilevel"/>
    <w:tmpl w:val="6EA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957CA"/>
    <w:multiLevelType w:val="multilevel"/>
    <w:tmpl w:val="677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566A2"/>
    <w:multiLevelType w:val="multilevel"/>
    <w:tmpl w:val="614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33CBF"/>
    <w:multiLevelType w:val="hybridMultilevel"/>
    <w:tmpl w:val="4686E8FA"/>
    <w:lvl w:ilvl="0" w:tplc="74346E9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33CC19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1794E31C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324E51DA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92787AA2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31AC1820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9D6A9FA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7002804A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201EA1A6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D903FAE"/>
    <w:multiLevelType w:val="multilevel"/>
    <w:tmpl w:val="52FC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E15D1"/>
    <w:multiLevelType w:val="multilevel"/>
    <w:tmpl w:val="4DA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2497E"/>
    <w:multiLevelType w:val="multilevel"/>
    <w:tmpl w:val="3C06033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6624563"/>
    <w:multiLevelType w:val="hybridMultilevel"/>
    <w:tmpl w:val="6F0A6CE0"/>
    <w:lvl w:ilvl="0" w:tplc="6F0CA2F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1F4183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16B47834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088648B2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48F65BD4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55C4D364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35F674D8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2780B37C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3D680E16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E052BB6"/>
    <w:multiLevelType w:val="multilevel"/>
    <w:tmpl w:val="3B0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96088"/>
    <w:multiLevelType w:val="multilevel"/>
    <w:tmpl w:val="07C2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D1B80"/>
    <w:multiLevelType w:val="multilevel"/>
    <w:tmpl w:val="531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565F5"/>
    <w:multiLevelType w:val="hybridMultilevel"/>
    <w:tmpl w:val="642C495E"/>
    <w:lvl w:ilvl="0" w:tplc="1408FE0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A40C0E4A">
      <w:start w:val="1"/>
      <w:numFmt w:val="decimal"/>
      <w:lvlText w:val="%2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6BC008D8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870AF5E2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85162B4E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9A8A438E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F0B4C95C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85F203B8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2C924BEA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6D202826"/>
    <w:multiLevelType w:val="multilevel"/>
    <w:tmpl w:val="02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A26B5"/>
    <w:multiLevelType w:val="hybridMultilevel"/>
    <w:tmpl w:val="8112FCC2"/>
    <w:lvl w:ilvl="0" w:tplc="04090013">
      <w:start w:val="1"/>
      <w:numFmt w:val="upperRoman"/>
      <w:lvlText w:val="%1."/>
      <w:lvlJc w:val="right"/>
      <w:pPr>
        <w:ind w:left="1118" w:hanging="360"/>
      </w:pPr>
    </w:lvl>
    <w:lvl w:ilvl="1" w:tplc="0C0A0019" w:tentative="1">
      <w:start w:val="1"/>
      <w:numFmt w:val="lowerLetter"/>
      <w:lvlText w:val="%2."/>
      <w:lvlJc w:val="left"/>
      <w:pPr>
        <w:ind w:left="1838" w:hanging="360"/>
      </w:pPr>
    </w:lvl>
    <w:lvl w:ilvl="2" w:tplc="0C0A001B" w:tentative="1">
      <w:start w:val="1"/>
      <w:numFmt w:val="lowerRoman"/>
      <w:lvlText w:val="%3."/>
      <w:lvlJc w:val="right"/>
      <w:pPr>
        <w:ind w:left="2558" w:hanging="180"/>
      </w:pPr>
    </w:lvl>
    <w:lvl w:ilvl="3" w:tplc="0C0A000F" w:tentative="1">
      <w:start w:val="1"/>
      <w:numFmt w:val="decimal"/>
      <w:lvlText w:val="%4."/>
      <w:lvlJc w:val="left"/>
      <w:pPr>
        <w:ind w:left="3278" w:hanging="360"/>
      </w:pPr>
    </w:lvl>
    <w:lvl w:ilvl="4" w:tplc="0C0A0019" w:tentative="1">
      <w:start w:val="1"/>
      <w:numFmt w:val="lowerLetter"/>
      <w:lvlText w:val="%5."/>
      <w:lvlJc w:val="left"/>
      <w:pPr>
        <w:ind w:left="3998" w:hanging="360"/>
      </w:pPr>
    </w:lvl>
    <w:lvl w:ilvl="5" w:tplc="0C0A001B" w:tentative="1">
      <w:start w:val="1"/>
      <w:numFmt w:val="lowerRoman"/>
      <w:lvlText w:val="%6."/>
      <w:lvlJc w:val="right"/>
      <w:pPr>
        <w:ind w:left="4718" w:hanging="180"/>
      </w:pPr>
    </w:lvl>
    <w:lvl w:ilvl="6" w:tplc="0C0A000F" w:tentative="1">
      <w:start w:val="1"/>
      <w:numFmt w:val="decimal"/>
      <w:lvlText w:val="%7."/>
      <w:lvlJc w:val="left"/>
      <w:pPr>
        <w:ind w:left="5438" w:hanging="360"/>
      </w:pPr>
    </w:lvl>
    <w:lvl w:ilvl="7" w:tplc="0C0A0019" w:tentative="1">
      <w:start w:val="1"/>
      <w:numFmt w:val="lowerLetter"/>
      <w:lvlText w:val="%8."/>
      <w:lvlJc w:val="left"/>
      <w:pPr>
        <w:ind w:left="6158" w:hanging="360"/>
      </w:pPr>
    </w:lvl>
    <w:lvl w:ilvl="8" w:tplc="0C0A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30" w15:restartNumberingAfterBreak="0">
    <w:nsid w:val="77AE2379"/>
    <w:multiLevelType w:val="multilevel"/>
    <w:tmpl w:val="0450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A4027"/>
    <w:multiLevelType w:val="multilevel"/>
    <w:tmpl w:val="AE5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4404">
    <w:abstractNumId w:val="27"/>
  </w:num>
  <w:num w:numId="2" w16cid:durableId="317735404">
    <w:abstractNumId w:val="5"/>
  </w:num>
  <w:num w:numId="3" w16cid:durableId="19818270">
    <w:abstractNumId w:val="6"/>
  </w:num>
  <w:num w:numId="4" w16cid:durableId="151995933">
    <w:abstractNumId w:val="19"/>
  </w:num>
  <w:num w:numId="5" w16cid:durableId="195847505">
    <w:abstractNumId w:val="8"/>
  </w:num>
  <w:num w:numId="6" w16cid:durableId="739861509">
    <w:abstractNumId w:val="3"/>
  </w:num>
  <w:num w:numId="7" w16cid:durableId="2063669002">
    <w:abstractNumId w:val="23"/>
  </w:num>
  <w:num w:numId="8" w16cid:durableId="748885608">
    <w:abstractNumId w:val="14"/>
  </w:num>
  <w:num w:numId="9" w16cid:durableId="1041326972">
    <w:abstractNumId w:val="4"/>
  </w:num>
  <w:num w:numId="10" w16cid:durableId="1496218626">
    <w:abstractNumId w:val="26"/>
  </w:num>
  <w:num w:numId="11" w16cid:durableId="2031181642">
    <w:abstractNumId w:val="7"/>
  </w:num>
  <w:num w:numId="12" w16cid:durableId="524320442">
    <w:abstractNumId w:val="25"/>
  </w:num>
  <w:num w:numId="13" w16cid:durableId="979115566">
    <w:abstractNumId w:val="2"/>
  </w:num>
  <w:num w:numId="14" w16cid:durableId="933317882">
    <w:abstractNumId w:val="0"/>
  </w:num>
  <w:num w:numId="15" w16cid:durableId="1611088731">
    <w:abstractNumId w:val="16"/>
  </w:num>
  <w:num w:numId="16" w16cid:durableId="690229554">
    <w:abstractNumId w:val="15"/>
  </w:num>
  <w:num w:numId="17" w16cid:durableId="1183397982">
    <w:abstractNumId w:val="10"/>
  </w:num>
  <w:num w:numId="18" w16cid:durableId="1557811383">
    <w:abstractNumId w:val="22"/>
  </w:num>
  <w:num w:numId="19" w16cid:durableId="269775340">
    <w:abstractNumId w:val="9"/>
  </w:num>
  <w:num w:numId="20" w16cid:durableId="2129228348">
    <w:abstractNumId w:val="13"/>
  </w:num>
  <w:num w:numId="21" w16cid:durableId="2027364516">
    <w:abstractNumId w:val="11"/>
  </w:num>
  <w:num w:numId="22" w16cid:durableId="1183082293">
    <w:abstractNumId w:val="1"/>
  </w:num>
  <w:num w:numId="23" w16cid:durableId="1034235689">
    <w:abstractNumId w:val="18"/>
  </w:num>
  <w:num w:numId="24" w16cid:durableId="773985540">
    <w:abstractNumId w:val="17"/>
  </w:num>
  <w:num w:numId="25" w16cid:durableId="683943464">
    <w:abstractNumId w:val="24"/>
  </w:num>
  <w:num w:numId="26" w16cid:durableId="577903178">
    <w:abstractNumId w:val="31"/>
  </w:num>
  <w:num w:numId="27" w16cid:durableId="340159989">
    <w:abstractNumId w:val="20"/>
  </w:num>
  <w:num w:numId="28" w16cid:durableId="544610177">
    <w:abstractNumId w:val="29"/>
  </w:num>
  <w:num w:numId="29" w16cid:durableId="1663242850">
    <w:abstractNumId w:val="21"/>
  </w:num>
  <w:num w:numId="30" w16cid:durableId="1879076423">
    <w:abstractNumId w:val="30"/>
  </w:num>
  <w:num w:numId="31" w16cid:durableId="525753431">
    <w:abstractNumId w:val="28"/>
  </w:num>
  <w:num w:numId="32" w16cid:durableId="13243551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38"/>
    <w:rsid w:val="00115896"/>
    <w:rsid w:val="00305A39"/>
    <w:rsid w:val="003A6F16"/>
    <w:rsid w:val="00411568"/>
    <w:rsid w:val="004355A5"/>
    <w:rsid w:val="004437E9"/>
    <w:rsid w:val="006C7098"/>
    <w:rsid w:val="00721282"/>
    <w:rsid w:val="00A32C18"/>
    <w:rsid w:val="00A96B1E"/>
    <w:rsid w:val="00C926A1"/>
    <w:rsid w:val="00DE1D73"/>
    <w:rsid w:val="00F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0F84"/>
  <w15:docId w15:val="{09477C04-B969-4E50-A0D1-0984B5AF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76" w:hanging="37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30" w:hanging="43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18" w:hanging="35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1D7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D73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E1D7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D73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721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umentos.bancomundial.org/es/publication/documents-reports/documentdetail/099062623201028153/p1687031c943fa1313f6814bcf1aeb51371a5665a9a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fiHNwApNzPoCSexWd4VtbuAoRjpkDdpm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1237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#1</vt:lpstr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#1</dc:title>
  <dc:subject/>
  <dc:creator>CARLA GEOVANNA PARRA BANO</dc:creator>
  <cp:keywords/>
  <dc:description/>
  <cp:lastModifiedBy>CARLA GEOVANNA PARRA BANO</cp:lastModifiedBy>
  <cp:revision>2</cp:revision>
  <dcterms:created xsi:type="dcterms:W3CDTF">2025-03-31T04:12:00Z</dcterms:created>
  <dcterms:modified xsi:type="dcterms:W3CDTF">2025-03-31T04:12:00Z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2025-03-30T00:00:00Z</vt:filetime>
  </property>
</Properties>
</file>