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AnalogReadSerial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Reads an analog input on pin 0, prints the result to the serial monitor.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Graphical representation is available using serial plotter (Tools &gt; Serial Plotter menu)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Attach the center pin of a potentiometer to pin A0, and the outside pins to +5V and ground.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pushButton2 = 2;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pushButton3 = 3;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pushButton4 = 4;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 the setup routine runs once when you press reset: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// initialize serial communication at 9600 bits per second: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 the loop routine runs over and over again forever: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// read the input on analog pin 0: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int R1X = analogRead(A0);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int R1Y = analogRead(A1);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int R2X = analogRead(A3);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int R2Y = analogRead(A2);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int CH6 = analogRead (4);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bool TRAINER = digitalRead(2);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bool CH5 = digitalRead(3);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bool ELEV = digitalRead(4);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/*   data[MAX_DATOS];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uint8_t XORChecksum8(const byte *data, size_t dataLength)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uint8_t value = 0;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for (size_t i = 1; i &lt; dataLenght ; i++)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 ^= (uint8_t)data[i];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return value;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void itoc(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int a=1;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char b[2];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String str;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str=String(a);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str.toCharArray(b,2);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// print out the value you read: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Serial.print(R1X);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Serial.print(R1Y);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Serial.print(R2X);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Serial.print(R2Y);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Serial.print(CH6);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Serial.print(TRAINER);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Serial.print(CH5);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Serial.print('\t');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Serial.print(ELEV);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Serial.print('\n');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delay(1);    </w:t>
        <w:tab/>
        <w:t xml:space="preserve">// delay in between reads for stability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