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AA9A1" w14:textId="77777777" w:rsidR="005D2A8B" w:rsidRPr="005D2A8B" w:rsidRDefault="005D2A8B" w:rsidP="005D2A8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s-ES_tradnl"/>
          <w14:ligatures w14:val="none"/>
        </w:rPr>
      </w:pPr>
      <w:r w:rsidRPr="005D2A8B">
        <w:rPr>
          <w:rFonts w:ascii="Times New Roman" w:eastAsia="Times New Roman" w:hAnsi="Times New Roman" w:cs="Times New Roman"/>
          <w:b/>
          <w:bCs/>
          <w:color w:val="000000"/>
          <w:kern w:val="36"/>
          <w:sz w:val="48"/>
          <w:szCs w:val="48"/>
          <w:lang w:eastAsia="es-ES_tradnl"/>
          <w14:ligatures w14:val="none"/>
        </w:rPr>
        <w:t>Desarrollo del Análisis Exploratorio de Datos (EDA)</w:t>
      </w:r>
    </w:p>
    <w:p w14:paraId="63AA6326" w14:textId="77777777" w:rsidR="005D2A8B" w:rsidRPr="005D2A8B" w:rsidRDefault="005D2A8B" w:rsidP="005D2A8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ES_tradnl"/>
          <w14:ligatures w14:val="none"/>
        </w:rPr>
      </w:pPr>
      <w:r w:rsidRPr="005D2A8B">
        <w:rPr>
          <w:rFonts w:ascii="Times New Roman" w:eastAsia="Times New Roman" w:hAnsi="Times New Roman" w:cs="Times New Roman"/>
          <w:b/>
          <w:bCs/>
          <w:color w:val="000000"/>
          <w:kern w:val="0"/>
          <w:sz w:val="36"/>
          <w:szCs w:val="36"/>
          <w:lang w:eastAsia="es-ES_tradnl"/>
          <w14:ligatures w14:val="none"/>
        </w:rPr>
        <w:t>1. Contexto y estructura de los datos</w:t>
      </w:r>
    </w:p>
    <w:p w14:paraId="1AAA8498" w14:textId="77777777" w:rsidR="005D2A8B" w:rsidRPr="005D2A8B" w:rsidRDefault="005D2A8B" w:rsidP="005D2A8B">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5D2A8B">
        <w:rPr>
          <w:rFonts w:ascii="Times New Roman" w:eastAsia="Times New Roman" w:hAnsi="Times New Roman" w:cs="Times New Roman"/>
          <w:color w:val="000000"/>
          <w:kern w:val="0"/>
          <w:lang w:eastAsia="es-ES_tradnl"/>
          <w14:ligatures w14:val="none"/>
        </w:rPr>
        <w:t>El presente análisis exploratorio se realiza a partir de dos conjuntos de datos complementarios.</w:t>
      </w:r>
      <w:r w:rsidRPr="005D2A8B">
        <w:rPr>
          <w:rFonts w:ascii="Times New Roman" w:eastAsia="Times New Roman" w:hAnsi="Times New Roman" w:cs="Times New Roman"/>
          <w:color w:val="000000"/>
          <w:kern w:val="0"/>
          <w:lang w:eastAsia="es-ES_tradnl"/>
          <w14:ligatures w14:val="none"/>
        </w:rPr>
        <w:br/>
        <w:t>El primero recoge información relativa a campañas de marketing, incluyendo características sociodemográficas, variables macroeconómicas, información del contacto y una variable objetivo binaria (</w:t>
      </w:r>
      <w:r w:rsidRPr="005D2A8B">
        <w:rPr>
          <w:rFonts w:ascii="Courier New" w:eastAsia="Times New Roman" w:hAnsi="Courier New" w:cs="Courier New"/>
          <w:color w:val="000000"/>
          <w:kern w:val="0"/>
          <w:sz w:val="20"/>
          <w:szCs w:val="20"/>
          <w:lang w:eastAsia="es-ES_tradnl"/>
          <w14:ligatures w14:val="none"/>
        </w:rPr>
        <w:t>y</w:t>
      </w:r>
      <w:r w:rsidRPr="005D2A8B">
        <w:rPr>
          <w:rFonts w:ascii="Times New Roman" w:eastAsia="Times New Roman" w:hAnsi="Times New Roman" w:cs="Times New Roman"/>
          <w:color w:val="000000"/>
          <w:kern w:val="0"/>
          <w:lang w:eastAsia="es-ES_tradnl"/>
          <w14:ligatures w14:val="none"/>
        </w:rPr>
        <w:t>) que indica si el cliente suscribió o no el producto ofertado.</w:t>
      </w:r>
      <w:r w:rsidRPr="005D2A8B">
        <w:rPr>
          <w:rFonts w:ascii="Times New Roman" w:eastAsia="Times New Roman" w:hAnsi="Times New Roman" w:cs="Times New Roman"/>
          <w:color w:val="000000"/>
          <w:kern w:val="0"/>
          <w:lang w:eastAsia="es-ES_tradnl"/>
          <w14:ligatures w14:val="none"/>
        </w:rPr>
        <w:br/>
        <w:t>El segundo dataset contiene información adicional de clientes, centrada en variables económicas, estructura familiar y comportamiento digital.</w:t>
      </w:r>
    </w:p>
    <w:p w14:paraId="1AAD8241" w14:textId="5E42FB9F" w:rsidR="005D2A8B" w:rsidRPr="005D2A8B" w:rsidRDefault="005D2A8B" w:rsidP="005D2A8B">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5D2A8B">
        <w:rPr>
          <w:rFonts w:ascii="Times New Roman" w:eastAsia="Times New Roman" w:hAnsi="Times New Roman" w:cs="Times New Roman"/>
          <w:color w:val="000000"/>
          <w:kern w:val="0"/>
          <w:lang w:eastAsia="es-ES_tradnl"/>
          <w14:ligatures w14:val="none"/>
        </w:rPr>
        <w:t>Ambos conjuntos de datos comparten un identificador común (</w:t>
      </w:r>
      <w:r w:rsidR="007F165B" w:rsidRPr="007F165B">
        <w:rPr>
          <w:rFonts w:ascii="Times New Roman" w:eastAsia="Times New Roman" w:hAnsi="Times New Roman" w:cs="Times New Roman"/>
          <w:color w:val="000000"/>
          <w:kern w:val="0"/>
          <w:lang w:eastAsia="es-ES_tradnl"/>
          <w14:ligatures w14:val="none"/>
        </w:rPr>
        <w:t>id</w:t>
      </w:r>
      <w:r w:rsidRPr="005D2A8B">
        <w:rPr>
          <w:rFonts w:ascii="Times New Roman" w:eastAsia="Times New Roman" w:hAnsi="Times New Roman" w:cs="Times New Roman"/>
          <w:color w:val="000000"/>
          <w:kern w:val="0"/>
          <w:lang w:eastAsia="es-ES_tradnl"/>
          <w14:ligatures w14:val="none"/>
        </w:rPr>
        <w:t>), lo que permite su integración para un análisis conjunto orientado a enriquecer la interpretación de los resultados.</w:t>
      </w:r>
    </w:p>
    <w:p w14:paraId="0D6AB296" w14:textId="77777777" w:rsidR="005D2A8B" w:rsidRPr="005D2A8B" w:rsidRDefault="00AC4A1A" w:rsidP="005D2A8B">
      <w:pPr>
        <w:spacing w:after="0" w:line="240" w:lineRule="auto"/>
        <w:rPr>
          <w:rFonts w:ascii="Times New Roman" w:eastAsia="Times New Roman" w:hAnsi="Times New Roman" w:cs="Times New Roman"/>
          <w:kern w:val="0"/>
          <w:lang w:eastAsia="es-ES_tradnl"/>
          <w14:ligatures w14:val="none"/>
        </w:rPr>
      </w:pPr>
      <w:r>
        <w:rPr>
          <w:rFonts w:ascii="Times New Roman" w:eastAsia="Times New Roman" w:hAnsi="Times New Roman" w:cs="Times New Roman"/>
          <w:noProof/>
          <w:kern w:val="0"/>
          <w:lang w:eastAsia="es-ES_tradnl"/>
        </w:rPr>
        <w:pict w14:anchorId="051F32D3">
          <v:rect id="_x0000_i1025" alt="" style="width:425.2pt;height:.05pt;mso-width-percent:0;mso-height-percent:0;mso-width-percent:0;mso-height-percent:0" o:hralign="center" o:hrstd="t" o:hr="t" fillcolor="#a0a0a0" stroked="f"/>
        </w:pict>
      </w:r>
    </w:p>
    <w:p w14:paraId="5151D618" w14:textId="77777777" w:rsidR="005D2A8B" w:rsidRPr="005D2A8B" w:rsidRDefault="005D2A8B" w:rsidP="005D2A8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ES_tradnl"/>
          <w14:ligatures w14:val="none"/>
        </w:rPr>
      </w:pPr>
      <w:r w:rsidRPr="005D2A8B">
        <w:rPr>
          <w:rFonts w:ascii="Times New Roman" w:eastAsia="Times New Roman" w:hAnsi="Times New Roman" w:cs="Times New Roman"/>
          <w:b/>
          <w:bCs/>
          <w:color w:val="000000"/>
          <w:kern w:val="0"/>
          <w:sz w:val="36"/>
          <w:szCs w:val="36"/>
          <w:lang w:eastAsia="es-ES_tradnl"/>
          <w14:ligatures w14:val="none"/>
        </w:rPr>
        <w:t>2. Análisis descriptivo del dataset de marketing</w:t>
      </w:r>
    </w:p>
    <w:p w14:paraId="4B8F3A00" w14:textId="77777777" w:rsidR="005D2A8B" w:rsidRPr="005D2A8B" w:rsidRDefault="005D2A8B" w:rsidP="005D2A8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ES_tradnl"/>
          <w14:ligatures w14:val="none"/>
        </w:rPr>
      </w:pPr>
      <w:r w:rsidRPr="005D2A8B">
        <w:rPr>
          <w:rFonts w:ascii="Times New Roman" w:eastAsia="Times New Roman" w:hAnsi="Times New Roman" w:cs="Times New Roman"/>
          <w:b/>
          <w:bCs/>
          <w:color w:val="000000"/>
          <w:kern w:val="0"/>
          <w:sz w:val="27"/>
          <w:szCs w:val="27"/>
          <w:lang w:eastAsia="es-ES_tradnl"/>
          <w14:ligatures w14:val="none"/>
        </w:rPr>
        <w:t>2.1 Variable objetivo</w:t>
      </w:r>
    </w:p>
    <w:p w14:paraId="66F226F6" w14:textId="77777777" w:rsidR="007F165B" w:rsidRDefault="005D2A8B" w:rsidP="007F165B">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5D2A8B">
        <w:rPr>
          <w:rFonts w:ascii="Times New Roman" w:eastAsia="Times New Roman" w:hAnsi="Times New Roman" w:cs="Times New Roman"/>
          <w:color w:val="000000"/>
          <w:kern w:val="0"/>
          <w:lang w:eastAsia="es-ES_tradnl"/>
          <w14:ligatures w14:val="none"/>
        </w:rPr>
        <w:t>El análisis de la variable </w:t>
      </w:r>
      <w:r w:rsidRPr="005D2A8B">
        <w:rPr>
          <w:rFonts w:ascii="Courier New" w:eastAsia="Times New Roman" w:hAnsi="Courier New" w:cs="Courier New"/>
          <w:color w:val="000000"/>
          <w:kern w:val="0"/>
          <w:sz w:val="20"/>
          <w:szCs w:val="20"/>
          <w:lang w:eastAsia="es-ES_tradnl"/>
          <w14:ligatures w14:val="none"/>
        </w:rPr>
        <w:t>y</w:t>
      </w:r>
      <w:r w:rsidRPr="005D2A8B">
        <w:rPr>
          <w:rFonts w:ascii="Times New Roman" w:eastAsia="Times New Roman" w:hAnsi="Times New Roman" w:cs="Times New Roman"/>
          <w:color w:val="000000"/>
          <w:kern w:val="0"/>
          <w:lang w:eastAsia="es-ES_tradnl"/>
          <w14:ligatures w14:val="none"/>
        </w:rPr>
        <w:t> muestra un claro desbalanceo entre las clases, siendo mayoritaria la categoría correspondiente a campañas sin conversión.</w:t>
      </w:r>
      <w:r w:rsidRPr="005D2A8B">
        <w:rPr>
          <w:rFonts w:ascii="Times New Roman" w:eastAsia="Times New Roman" w:hAnsi="Times New Roman" w:cs="Times New Roman"/>
          <w:color w:val="000000"/>
          <w:kern w:val="0"/>
          <w:lang w:eastAsia="es-ES_tradnl"/>
          <w14:ligatures w14:val="none"/>
        </w:rPr>
        <w:br/>
        <w:t>Este comportamiento es consistente con escenarios reales de marketing, donde la tasa de éxito suele ser reducida en relación con el volumen total de contactos.</w:t>
      </w:r>
    </w:p>
    <w:p w14:paraId="714E7CEF" w14:textId="02DCAD54" w:rsidR="005D2A8B" w:rsidRPr="007F165B" w:rsidRDefault="005D2A8B" w:rsidP="007F165B">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5D2A8B">
        <w:rPr>
          <w:rFonts w:ascii="Times New Roman" w:eastAsia="Times New Roman" w:hAnsi="Times New Roman" w:cs="Times New Roman"/>
          <w:b/>
          <w:bCs/>
          <w:color w:val="000000"/>
          <w:kern w:val="0"/>
          <w:sz w:val="27"/>
          <w:szCs w:val="27"/>
          <w:lang w:eastAsia="es-ES_tradnl"/>
          <w14:ligatures w14:val="none"/>
        </w:rPr>
        <w:t>2.2 Variables categóricas</w:t>
      </w:r>
    </w:p>
    <w:p w14:paraId="6B1BDB9A" w14:textId="77777777" w:rsidR="005D2A8B" w:rsidRPr="005D2A8B" w:rsidRDefault="005D2A8B" w:rsidP="005D2A8B">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5D2A8B">
        <w:rPr>
          <w:rFonts w:ascii="Times New Roman" w:eastAsia="Times New Roman" w:hAnsi="Times New Roman" w:cs="Times New Roman"/>
          <w:color w:val="000000"/>
          <w:kern w:val="0"/>
          <w:lang w:eastAsia="es-ES_tradnl"/>
          <w14:ligatures w14:val="none"/>
        </w:rPr>
        <w:t>El análisis descriptivo de variables categóricas relevantes como el nivel educativo, estado civil, tipo de empleo o canal de contacto revela diferencias en la proporción de suscripciones entre los distintos grupos.</w:t>
      </w:r>
    </w:p>
    <w:p w14:paraId="5CE26685" w14:textId="53DD8F83" w:rsidR="005D2A8B" w:rsidRPr="007F165B" w:rsidRDefault="005D2A8B" w:rsidP="007F165B">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5D2A8B">
        <w:rPr>
          <w:rFonts w:ascii="Times New Roman" w:eastAsia="Times New Roman" w:hAnsi="Times New Roman" w:cs="Times New Roman"/>
          <w:color w:val="000000"/>
          <w:kern w:val="0"/>
          <w:lang w:eastAsia="es-ES_tradnl"/>
          <w14:ligatures w14:val="none"/>
        </w:rPr>
        <w:t>Si bien ninguna categoría resulta determinante por sí misma, se observan variaciones que sugieren que el perfil sociodemográfico influye en la probabilidad de conversión, reforzando la idea de un comportamiento heterogéneo entre los clientes contactados.</w:t>
      </w:r>
    </w:p>
    <w:p w14:paraId="7483F0C1" w14:textId="77777777" w:rsidR="005D2A8B" w:rsidRPr="005D2A8B" w:rsidRDefault="005D2A8B" w:rsidP="005D2A8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ES_tradnl"/>
          <w14:ligatures w14:val="none"/>
        </w:rPr>
      </w:pPr>
      <w:r w:rsidRPr="005D2A8B">
        <w:rPr>
          <w:rFonts w:ascii="Times New Roman" w:eastAsia="Times New Roman" w:hAnsi="Times New Roman" w:cs="Times New Roman"/>
          <w:b/>
          <w:bCs/>
          <w:color w:val="000000"/>
          <w:kern w:val="0"/>
          <w:sz w:val="27"/>
          <w:szCs w:val="27"/>
          <w:lang w:eastAsia="es-ES_tradnl"/>
          <w14:ligatures w14:val="none"/>
        </w:rPr>
        <w:t>2.3 Variables numéricas</w:t>
      </w:r>
    </w:p>
    <w:p w14:paraId="04B8004C" w14:textId="77777777" w:rsidR="005D2A8B" w:rsidRPr="005D2A8B" w:rsidRDefault="005D2A8B" w:rsidP="005D2A8B">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5D2A8B">
        <w:rPr>
          <w:rFonts w:ascii="Times New Roman" w:eastAsia="Times New Roman" w:hAnsi="Times New Roman" w:cs="Times New Roman"/>
          <w:color w:val="000000"/>
          <w:kern w:val="0"/>
          <w:lang w:eastAsia="es-ES_tradnl"/>
          <w14:ligatures w14:val="none"/>
        </w:rPr>
        <w:t>El análisis estadístico de las variables numéricas permite identificar rangos, dispersión y posibles valores extremos.</w:t>
      </w:r>
      <w:r w:rsidRPr="005D2A8B">
        <w:rPr>
          <w:rFonts w:ascii="Times New Roman" w:eastAsia="Times New Roman" w:hAnsi="Times New Roman" w:cs="Times New Roman"/>
          <w:color w:val="000000"/>
          <w:kern w:val="0"/>
          <w:lang w:eastAsia="es-ES_tradnl"/>
          <w14:ligatures w14:val="none"/>
        </w:rPr>
        <w:br/>
        <w:t>Variables como la edad, el número de contactos realizados durante la campaña y la duración de la llamada presentan distribuciones asimétricas, habituales en este tipo de datos.</w:t>
      </w:r>
    </w:p>
    <w:p w14:paraId="21F0118B" w14:textId="2C909C7B" w:rsidR="005D2A8B" w:rsidRDefault="005D2A8B" w:rsidP="005D2A8B">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5D2A8B">
        <w:rPr>
          <w:rFonts w:ascii="Times New Roman" w:eastAsia="Times New Roman" w:hAnsi="Times New Roman" w:cs="Times New Roman"/>
          <w:color w:val="000000"/>
          <w:kern w:val="0"/>
          <w:lang w:eastAsia="es-ES_tradnl"/>
          <w14:ligatures w14:val="none"/>
        </w:rPr>
        <w:lastRenderedPageBreak/>
        <w:t>Este análisis proporciona una base para explorar relaciones más profundas con la variabl</w:t>
      </w:r>
      <w:r>
        <w:rPr>
          <w:rFonts w:ascii="Times New Roman" w:eastAsia="Times New Roman" w:hAnsi="Times New Roman" w:cs="Times New Roman"/>
          <w:color w:val="000000"/>
          <w:kern w:val="0"/>
          <w:lang w:eastAsia="es-ES_tradnl"/>
          <w14:ligatures w14:val="none"/>
        </w:rPr>
        <w:t>e</w:t>
      </w:r>
      <w:r w:rsidRPr="005D2A8B">
        <w:rPr>
          <w:rFonts w:ascii="Times New Roman" w:eastAsia="Times New Roman" w:hAnsi="Times New Roman" w:cs="Times New Roman"/>
          <w:color w:val="000000"/>
          <w:kern w:val="0"/>
          <w:lang w:eastAsia="es-ES_tradnl"/>
          <w14:ligatures w14:val="none"/>
        </w:rPr>
        <w:t xml:space="preserve"> objetivo.</w:t>
      </w:r>
    </w:p>
    <w:p w14:paraId="6CB68C3E" w14:textId="4B53AE39" w:rsidR="005D2A8B" w:rsidRPr="005D2A8B" w:rsidRDefault="005D2A8B" w:rsidP="005D2A8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ES_tradnl"/>
          <w14:ligatures w14:val="none"/>
        </w:rPr>
      </w:pPr>
      <w:r>
        <w:rPr>
          <w:rFonts w:ascii="Times New Roman" w:eastAsia="Times New Roman" w:hAnsi="Times New Roman" w:cs="Times New Roman"/>
          <w:b/>
          <w:bCs/>
          <w:color w:val="000000"/>
          <w:kern w:val="0"/>
          <w:sz w:val="27"/>
          <w:szCs w:val="27"/>
          <w:lang w:eastAsia="es-ES_tradnl"/>
          <w14:ligatures w14:val="none"/>
        </w:rPr>
        <w:t xml:space="preserve">2.4 </w:t>
      </w:r>
      <w:r w:rsidRPr="005D2A8B">
        <w:rPr>
          <w:rFonts w:ascii="Times New Roman" w:eastAsia="Times New Roman" w:hAnsi="Times New Roman" w:cs="Times New Roman"/>
          <w:b/>
          <w:bCs/>
          <w:color w:val="000000"/>
          <w:kern w:val="0"/>
          <w:sz w:val="27"/>
          <w:szCs w:val="27"/>
          <w:lang w:eastAsia="es-ES_tradnl"/>
          <w14:ligatures w14:val="none"/>
        </w:rPr>
        <w:t>Tratamiento de la variable temporal y valores nulos</w:t>
      </w:r>
    </w:p>
    <w:p w14:paraId="322F2694" w14:textId="77777777" w:rsidR="005D2A8B" w:rsidRPr="005D2A8B" w:rsidRDefault="005D2A8B" w:rsidP="005D2A8B">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5D2A8B">
        <w:rPr>
          <w:rFonts w:ascii="Times New Roman" w:eastAsia="Times New Roman" w:hAnsi="Times New Roman" w:cs="Times New Roman"/>
          <w:color w:val="000000"/>
          <w:kern w:val="0"/>
          <w:lang w:eastAsia="es-ES_tradnl"/>
          <w14:ligatures w14:val="none"/>
        </w:rPr>
        <w:t>La variable de fecha presentaba un número significativo de valores nulos. La eliminación de estos registros no fue considerada una opción adecuada, ya que habría supuesto una pérdida relevante de información y la posible introducción de sesgos en el análisis.</w:t>
      </w:r>
    </w:p>
    <w:p w14:paraId="55E7BF93" w14:textId="77777777" w:rsidR="005D2A8B" w:rsidRPr="005D2A8B" w:rsidRDefault="005D2A8B" w:rsidP="005D2A8B">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5D2A8B">
        <w:rPr>
          <w:rFonts w:ascii="Times New Roman" w:eastAsia="Times New Roman" w:hAnsi="Times New Roman" w:cs="Times New Roman"/>
          <w:color w:val="000000"/>
          <w:kern w:val="0"/>
          <w:lang w:eastAsia="es-ES_tradnl"/>
          <w14:ligatures w14:val="none"/>
        </w:rPr>
        <w:t>Dado que la ausencia de fecha podía estar asociada a incidencias operativas durante las campañas, se optó por conservar dichos registros y tratar la variable mediante una estrategia combinada. En primer lugar, se creó una variable indicadora (</w:t>
      </w:r>
      <w:r w:rsidRPr="007F165B">
        <w:rPr>
          <w:rFonts w:ascii="Times New Roman" w:eastAsia="Times New Roman" w:hAnsi="Times New Roman" w:cs="Times New Roman"/>
          <w:color w:val="000000"/>
          <w:kern w:val="0"/>
          <w:lang w:eastAsia="es-ES_tradnl"/>
          <w14:ligatures w14:val="none"/>
        </w:rPr>
        <w:t>date_missing</w:t>
      </w:r>
      <w:r w:rsidRPr="005D2A8B">
        <w:rPr>
          <w:rFonts w:ascii="Times New Roman" w:eastAsia="Times New Roman" w:hAnsi="Times New Roman" w:cs="Times New Roman"/>
          <w:color w:val="000000"/>
          <w:kern w:val="0"/>
          <w:lang w:eastAsia="es-ES_tradnl"/>
          <w14:ligatures w14:val="none"/>
        </w:rPr>
        <w:t>) para identificar los casos en los que la fecha original no estaba disponible, permitiendo analizar posteriormente si esta ausencia tenía un significado analítico propio.</w:t>
      </w:r>
    </w:p>
    <w:p w14:paraId="36AD5301" w14:textId="77777777" w:rsidR="005D2A8B" w:rsidRPr="005D2A8B" w:rsidRDefault="005D2A8B" w:rsidP="005D2A8B">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5D2A8B">
        <w:rPr>
          <w:rFonts w:ascii="Times New Roman" w:eastAsia="Times New Roman" w:hAnsi="Times New Roman" w:cs="Times New Roman"/>
          <w:color w:val="000000"/>
          <w:kern w:val="0"/>
          <w:lang w:eastAsia="es-ES_tradnl"/>
          <w14:ligatures w14:val="none"/>
        </w:rPr>
        <w:t>Adicionalmente, se realizó una imputación de la fecha utilizando un estadístico robusto (mediana), exclusivamente con el objetivo de habilitar el análisis temporal. Esta imputación no se emplea como variable explicativa directa, sino como un recurso técnico para derivar variables como el año, el mes o el día de la semana.</w:t>
      </w:r>
    </w:p>
    <w:p w14:paraId="325616B8" w14:textId="77777777" w:rsidR="005D2A8B" w:rsidRPr="005D2A8B" w:rsidRDefault="005D2A8B" w:rsidP="005D2A8B">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5D2A8B">
        <w:rPr>
          <w:rFonts w:ascii="Times New Roman" w:eastAsia="Times New Roman" w:hAnsi="Times New Roman" w:cs="Times New Roman"/>
          <w:color w:val="000000"/>
          <w:kern w:val="0"/>
          <w:lang w:eastAsia="es-ES_tradnl"/>
          <w14:ligatures w14:val="none"/>
        </w:rPr>
        <w:t>El análisis exploratorio posterior confirma que esta decisión no introduce correlaciones espurias y permite preservar la integridad del conjunto de datos, manteniendo al mismo tiempo la trazabilidad de los valores originalmente ausentes.</w:t>
      </w:r>
    </w:p>
    <w:p w14:paraId="55BC10EA" w14:textId="77777777" w:rsidR="00E827D0" w:rsidRDefault="00E827D0" w:rsidP="00E827D0">
      <w:pPr>
        <w:pStyle w:val="NormalWeb"/>
        <w:rPr>
          <w:color w:val="000000"/>
        </w:rPr>
      </w:pPr>
      <w:r>
        <w:rPr>
          <w:color w:val="000000"/>
        </w:rPr>
        <w:t>Con el objetivo de validar la decisión tomada respecto al tratamiento de los valores nulos en la variable temporal, se realizó un análisis gráfico complementario. En primer lugar, se comparó el comportamiento de la variable objetivo en función de la disponibilidad de la fecha original, observándose que la ausencia de fecha no introduce distorsiones significativas en la conversión.</w:t>
      </w:r>
    </w:p>
    <w:p w14:paraId="5459D717" w14:textId="2D6A6FF5" w:rsidR="007F165B" w:rsidRDefault="00E827D0" w:rsidP="00E827D0">
      <w:pPr>
        <w:pStyle w:val="NormalWeb"/>
        <w:rPr>
          <w:color w:val="000000"/>
        </w:rPr>
      </w:pPr>
      <w:r>
        <w:rPr>
          <w:color w:val="000000"/>
        </w:rPr>
        <w:t>Asimismo, la imputación permitió llevar a cabo un análisis temporal de la tasa de conversión, identificando variaciones a lo largo del año. Estos resultados refuerzan la idoneidad de la estrategia adoptada, al posibilitar el análisis temporal sin comprometer la integridad del conjunto de datos ni ocultar la información originalmente ausente.</w:t>
      </w:r>
    </w:p>
    <w:p w14:paraId="11DDC23D" w14:textId="5C259028" w:rsidR="005D2A8B" w:rsidRPr="007F165B" w:rsidRDefault="007F165B" w:rsidP="007F165B">
      <w:pPr>
        <w:pStyle w:val="NormalWeb"/>
        <w:rPr>
          <w:color w:val="000000"/>
        </w:rPr>
      </w:pPr>
      <w:r>
        <w:rPr>
          <w:color w:val="000000"/>
        </w:rPr>
        <w:t xml:space="preserve">Como conclusión se puede ver que el existen meses con picos de conversión. </w:t>
      </w:r>
    </w:p>
    <w:p w14:paraId="03714F3E" w14:textId="77777777" w:rsidR="005D2A8B" w:rsidRPr="005D2A8B" w:rsidRDefault="005D2A8B" w:rsidP="005D2A8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ES_tradnl"/>
          <w14:ligatures w14:val="none"/>
        </w:rPr>
      </w:pPr>
      <w:r w:rsidRPr="005D2A8B">
        <w:rPr>
          <w:rFonts w:ascii="Times New Roman" w:eastAsia="Times New Roman" w:hAnsi="Times New Roman" w:cs="Times New Roman"/>
          <w:b/>
          <w:bCs/>
          <w:color w:val="000000"/>
          <w:kern w:val="0"/>
          <w:sz w:val="36"/>
          <w:szCs w:val="36"/>
          <w:lang w:eastAsia="es-ES_tradnl"/>
          <w14:ligatures w14:val="none"/>
        </w:rPr>
        <w:t>3. Análisis cuantitativo: relación con la conversión</w:t>
      </w:r>
    </w:p>
    <w:p w14:paraId="2CF9B007" w14:textId="77777777" w:rsidR="005D2A8B" w:rsidRPr="005D2A8B" w:rsidRDefault="005D2A8B" w:rsidP="005D2A8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ES_tradnl"/>
          <w14:ligatures w14:val="none"/>
        </w:rPr>
      </w:pPr>
      <w:r w:rsidRPr="005D2A8B">
        <w:rPr>
          <w:rFonts w:ascii="Times New Roman" w:eastAsia="Times New Roman" w:hAnsi="Times New Roman" w:cs="Times New Roman"/>
          <w:b/>
          <w:bCs/>
          <w:color w:val="000000"/>
          <w:kern w:val="0"/>
          <w:sz w:val="27"/>
          <w:szCs w:val="27"/>
          <w:lang w:eastAsia="es-ES_tradnl"/>
          <w14:ligatures w14:val="none"/>
        </w:rPr>
        <w:t>3.1 Variables numéricas y suscripción</w:t>
      </w:r>
    </w:p>
    <w:p w14:paraId="01E2C05B" w14:textId="77777777" w:rsidR="005D2A8B" w:rsidRPr="005D2A8B" w:rsidRDefault="005D2A8B" w:rsidP="005D2A8B">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5D2A8B">
        <w:rPr>
          <w:rFonts w:ascii="Times New Roman" w:eastAsia="Times New Roman" w:hAnsi="Times New Roman" w:cs="Times New Roman"/>
          <w:color w:val="000000"/>
          <w:kern w:val="0"/>
          <w:lang w:eastAsia="es-ES_tradnl"/>
          <w14:ligatures w14:val="none"/>
        </w:rPr>
        <w:t>Al comparar las medias de distintas variables numéricas según el valor de </w:t>
      </w:r>
      <w:r w:rsidRPr="005D2A8B">
        <w:rPr>
          <w:rFonts w:ascii="Courier New" w:eastAsia="Times New Roman" w:hAnsi="Courier New" w:cs="Courier New"/>
          <w:color w:val="000000"/>
          <w:kern w:val="0"/>
          <w:sz w:val="20"/>
          <w:szCs w:val="20"/>
          <w:lang w:eastAsia="es-ES_tradnl"/>
          <w14:ligatures w14:val="none"/>
        </w:rPr>
        <w:t>y</w:t>
      </w:r>
      <w:r w:rsidRPr="005D2A8B">
        <w:rPr>
          <w:rFonts w:ascii="Times New Roman" w:eastAsia="Times New Roman" w:hAnsi="Times New Roman" w:cs="Times New Roman"/>
          <w:color w:val="000000"/>
          <w:kern w:val="0"/>
          <w:lang w:eastAsia="es-ES_tradnl"/>
          <w14:ligatures w14:val="none"/>
        </w:rPr>
        <w:t>, se observa que la duración del contacto es la variable que presenta una diferencia más significativa entre campañas exitosas y no exitosas.</w:t>
      </w:r>
    </w:p>
    <w:p w14:paraId="01759DF8" w14:textId="2F4F0CF8" w:rsidR="005D2A8B" w:rsidRPr="007F165B" w:rsidRDefault="005D2A8B" w:rsidP="007F165B">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5D2A8B">
        <w:rPr>
          <w:rFonts w:ascii="Times New Roman" w:eastAsia="Times New Roman" w:hAnsi="Times New Roman" w:cs="Times New Roman"/>
          <w:color w:val="000000"/>
          <w:kern w:val="0"/>
          <w:lang w:eastAsia="es-ES_tradnl"/>
          <w14:ligatures w14:val="none"/>
        </w:rPr>
        <w:t>Las campañas con suscripción tienden a estar asociadas a llamadas de mayor duración, lo que sugiere un mayor nivel de interacción o interés por parte del cliente.</w:t>
      </w:r>
      <w:r w:rsidRPr="005D2A8B">
        <w:rPr>
          <w:rFonts w:ascii="Times New Roman" w:eastAsia="Times New Roman" w:hAnsi="Times New Roman" w:cs="Times New Roman"/>
          <w:color w:val="000000"/>
          <w:kern w:val="0"/>
          <w:lang w:eastAsia="es-ES_tradnl"/>
          <w14:ligatures w14:val="none"/>
        </w:rPr>
        <w:br/>
      </w:r>
      <w:r w:rsidRPr="005D2A8B">
        <w:rPr>
          <w:rFonts w:ascii="Times New Roman" w:eastAsia="Times New Roman" w:hAnsi="Times New Roman" w:cs="Times New Roman"/>
          <w:color w:val="000000"/>
          <w:kern w:val="0"/>
          <w:lang w:eastAsia="es-ES_tradnl"/>
          <w14:ligatures w14:val="none"/>
        </w:rPr>
        <w:lastRenderedPageBreak/>
        <w:t>Por el contrario, un mayor número de contactos durante una misma campaña no se traduce necesariamente en una mayor probabilidad de conversión.</w:t>
      </w:r>
    </w:p>
    <w:p w14:paraId="1839F6E8" w14:textId="77777777" w:rsidR="005D2A8B" w:rsidRPr="005D2A8B" w:rsidRDefault="005D2A8B" w:rsidP="005D2A8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ES_tradnl"/>
          <w14:ligatures w14:val="none"/>
        </w:rPr>
      </w:pPr>
      <w:r w:rsidRPr="005D2A8B">
        <w:rPr>
          <w:rFonts w:ascii="Times New Roman" w:eastAsia="Times New Roman" w:hAnsi="Times New Roman" w:cs="Times New Roman"/>
          <w:b/>
          <w:bCs/>
          <w:color w:val="000000"/>
          <w:kern w:val="0"/>
          <w:sz w:val="27"/>
          <w:szCs w:val="27"/>
          <w:lang w:eastAsia="es-ES_tradnl"/>
          <w14:ligatures w14:val="none"/>
        </w:rPr>
        <w:t>3.2 Interpretación general</w:t>
      </w:r>
    </w:p>
    <w:p w14:paraId="02C1E486" w14:textId="77777777" w:rsidR="005D2A8B" w:rsidRPr="005D2A8B" w:rsidRDefault="005D2A8B" w:rsidP="005D2A8B">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5D2A8B">
        <w:rPr>
          <w:rFonts w:ascii="Times New Roman" w:eastAsia="Times New Roman" w:hAnsi="Times New Roman" w:cs="Times New Roman"/>
          <w:color w:val="000000"/>
          <w:kern w:val="0"/>
          <w:lang w:eastAsia="es-ES_tradnl"/>
          <w14:ligatures w14:val="none"/>
        </w:rPr>
        <w:t>Los resultados indican que la conversión no depende de un único factor, sino de la combinación de características del cliente, el contexto económico y la interacción durante la campaña.</w:t>
      </w:r>
      <w:r w:rsidRPr="005D2A8B">
        <w:rPr>
          <w:rFonts w:ascii="Times New Roman" w:eastAsia="Times New Roman" w:hAnsi="Times New Roman" w:cs="Times New Roman"/>
          <w:color w:val="000000"/>
          <w:kern w:val="0"/>
          <w:lang w:eastAsia="es-ES_tradnl"/>
          <w14:ligatures w14:val="none"/>
        </w:rPr>
        <w:br/>
        <w:t>Este comportamiento refuerza la naturaleza multivariable del problema analizado.</w:t>
      </w:r>
    </w:p>
    <w:p w14:paraId="6368972C" w14:textId="06B14B55" w:rsidR="005D2A8B" w:rsidRPr="005D2A8B" w:rsidRDefault="005D2A8B" w:rsidP="005D2A8B">
      <w:pPr>
        <w:spacing w:after="0" w:line="240" w:lineRule="auto"/>
        <w:rPr>
          <w:rFonts w:ascii="Times New Roman" w:eastAsia="Times New Roman" w:hAnsi="Times New Roman" w:cs="Times New Roman"/>
          <w:kern w:val="0"/>
          <w:lang w:eastAsia="es-ES_tradnl"/>
          <w14:ligatures w14:val="none"/>
        </w:rPr>
      </w:pPr>
    </w:p>
    <w:p w14:paraId="3E7C54CE" w14:textId="77777777" w:rsidR="005D2A8B" w:rsidRPr="005D2A8B" w:rsidRDefault="005D2A8B" w:rsidP="005D2A8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ES_tradnl"/>
          <w14:ligatures w14:val="none"/>
        </w:rPr>
      </w:pPr>
      <w:r w:rsidRPr="005D2A8B">
        <w:rPr>
          <w:rFonts w:ascii="Times New Roman" w:eastAsia="Times New Roman" w:hAnsi="Times New Roman" w:cs="Times New Roman"/>
          <w:b/>
          <w:bCs/>
          <w:color w:val="000000"/>
          <w:kern w:val="0"/>
          <w:sz w:val="36"/>
          <w:szCs w:val="36"/>
          <w:lang w:eastAsia="es-ES_tradnl"/>
          <w14:ligatures w14:val="none"/>
        </w:rPr>
        <w:t>4. Análisis descriptivo del dataset de clientes</w:t>
      </w:r>
    </w:p>
    <w:p w14:paraId="42CE4584" w14:textId="77777777" w:rsidR="005D2A8B" w:rsidRPr="005D2A8B" w:rsidRDefault="005D2A8B" w:rsidP="005D2A8B">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5D2A8B">
        <w:rPr>
          <w:rFonts w:ascii="Times New Roman" w:eastAsia="Times New Roman" w:hAnsi="Times New Roman" w:cs="Times New Roman"/>
          <w:color w:val="000000"/>
          <w:kern w:val="0"/>
          <w:lang w:eastAsia="es-ES_tradnl"/>
          <w14:ligatures w14:val="none"/>
        </w:rPr>
        <w:t>El dataset de clientes aporta información adicional sobre el perfil económico, la estructura familiar y el nivel de interacción digital.</w:t>
      </w:r>
    </w:p>
    <w:p w14:paraId="0715B8CF" w14:textId="4BF7FE02" w:rsidR="005D2A8B" w:rsidRPr="007F165B" w:rsidRDefault="005D2A8B" w:rsidP="007F165B">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5D2A8B">
        <w:rPr>
          <w:rFonts w:ascii="Times New Roman" w:eastAsia="Times New Roman" w:hAnsi="Times New Roman" w:cs="Times New Roman"/>
          <w:color w:val="000000"/>
          <w:kern w:val="0"/>
          <w:lang w:eastAsia="es-ES_tradnl"/>
          <w14:ligatures w14:val="none"/>
        </w:rPr>
        <w:t>El análisis descriptivo muestra una distribución de ingresos concentrada en tramos medios, así como una variabilidad relevante en el número de visitas mensuales al sitio web.</w:t>
      </w:r>
      <w:r w:rsidRPr="005D2A8B">
        <w:rPr>
          <w:rFonts w:ascii="Times New Roman" w:eastAsia="Times New Roman" w:hAnsi="Times New Roman" w:cs="Times New Roman"/>
          <w:color w:val="000000"/>
          <w:kern w:val="0"/>
          <w:lang w:eastAsia="es-ES_tradnl"/>
          <w14:ligatures w14:val="none"/>
        </w:rPr>
        <w:br/>
        <w:t>Estas variables permiten caracterizar mejor al cliente más allá de la información estrictamente asociada a la campaña.</w:t>
      </w:r>
    </w:p>
    <w:p w14:paraId="675F8AFA" w14:textId="77777777" w:rsidR="005D2A8B" w:rsidRPr="005D2A8B" w:rsidRDefault="005D2A8B" w:rsidP="005D2A8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ES_tradnl"/>
          <w14:ligatures w14:val="none"/>
        </w:rPr>
      </w:pPr>
      <w:r w:rsidRPr="005D2A8B">
        <w:rPr>
          <w:rFonts w:ascii="Times New Roman" w:eastAsia="Times New Roman" w:hAnsi="Times New Roman" w:cs="Times New Roman"/>
          <w:b/>
          <w:bCs/>
          <w:color w:val="000000"/>
          <w:kern w:val="0"/>
          <w:sz w:val="36"/>
          <w:szCs w:val="36"/>
          <w:lang w:eastAsia="es-ES_tradnl"/>
          <w14:ligatures w14:val="none"/>
        </w:rPr>
        <w:t>5. Análisis del dataset unificado</w:t>
      </w:r>
    </w:p>
    <w:p w14:paraId="57639859" w14:textId="79904363" w:rsidR="005D2A8B" w:rsidRPr="005D2A8B" w:rsidRDefault="005D2A8B" w:rsidP="005D2A8B">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5D2A8B">
        <w:rPr>
          <w:rFonts w:ascii="Times New Roman" w:eastAsia="Times New Roman" w:hAnsi="Times New Roman" w:cs="Times New Roman"/>
          <w:color w:val="000000"/>
          <w:kern w:val="0"/>
          <w:lang w:eastAsia="es-ES_tradnl"/>
          <w14:ligatures w14:val="none"/>
        </w:rPr>
        <w:t>La integración de ambos conjuntos de datos permite analizar la conversión desde una perspectiva más amplia</w:t>
      </w:r>
      <w:r w:rsidR="007F165B">
        <w:rPr>
          <w:rFonts w:ascii="Times New Roman" w:eastAsia="Times New Roman" w:hAnsi="Times New Roman" w:cs="Times New Roman"/>
          <w:color w:val="000000"/>
          <w:kern w:val="0"/>
          <w:lang w:eastAsia="es-ES_tradnl"/>
          <w14:ligatures w14:val="none"/>
        </w:rPr>
        <w:t xml:space="preserve">, y resaltar que con la campaña analizada no se ha realizado a la totalidad de los clientes. </w:t>
      </w:r>
    </w:p>
    <w:p w14:paraId="22D86E04" w14:textId="77777777" w:rsidR="005D2A8B" w:rsidRPr="005D2A8B" w:rsidRDefault="005D2A8B" w:rsidP="005D2A8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ES_tradnl"/>
          <w14:ligatures w14:val="none"/>
        </w:rPr>
      </w:pPr>
      <w:r w:rsidRPr="005D2A8B">
        <w:rPr>
          <w:rFonts w:ascii="Times New Roman" w:eastAsia="Times New Roman" w:hAnsi="Times New Roman" w:cs="Times New Roman"/>
          <w:b/>
          <w:bCs/>
          <w:color w:val="000000"/>
          <w:kern w:val="0"/>
          <w:sz w:val="27"/>
          <w:szCs w:val="27"/>
          <w:lang w:eastAsia="es-ES_tradnl"/>
          <w14:ligatures w14:val="none"/>
        </w:rPr>
        <w:t>5.1 Perfil económico y conversión</w:t>
      </w:r>
    </w:p>
    <w:p w14:paraId="24EF16E5" w14:textId="05D24641" w:rsidR="005D2A8B" w:rsidRPr="007F165B" w:rsidRDefault="005D2A8B" w:rsidP="007F165B">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5D2A8B">
        <w:rPr>
          <w:rFonts w:ascii="Times New Roman" w:eastAsia="Times New Roman" w:hAnsi="Times New Roman" w:cs="Times New Roman"/>
          <w:color w:val="000000"/>
          <w:kern w:val="0"/>
          <w:lang w:eastAsia="es-ES_tradnl"/>
          <w14:ligatures w14:val="none"/>
        </w:rPr>
        <w:t>El análisis de los ingresos en relación con la variable objetivo muestra que los clientes que suscriben tienden, en promedio, a presentar ingresos ligeramente superiores.</w:t>
      </w:r>
      <w:r w:rsidRPr="005D2A8B">
        <w:rPr>
          <w:rFonts w:ascii="Times New Roman" w:eastAsia="Times New Roman" w:hAnsi="Times New Roman" w:cs="Times New Roman"/>
          <w:color w:val="000000"/>
          <w:kern w:val="0"/>
          <w:lang w:eastAsia="es-ES_tradnl"/>
          <w14:ligatures w14:val="none"/>
        </w:rPr>
        <w:br/>
        <w:t>No obstante, esta diferencia no es lo suficientemente marcada como para considerarla un factor determinante de forma aislada.</w:t>
      </w:r>
    </w:p>
    <w:p w14:paraId="034E1448" w14:textId="77777777" w:rsidR="005D2A8B" w:rsidRPr="005D2A8B" w:rsidRDefault="005D2A8B" w:rsidP="005D2A8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ES_tradnl"/>
          <w14:ligatures w14:val="none"/>
        </w:rPr>
      </w:pPr>
      <w:r w:rsidRPr="005D2A8B">
        <w:rPr>
          <w:rFonts w:ascii="Times New Roman" w:eastAsia="Times New Roman" w:hAnsi="Times New Roman" w:cs="Times New Roman"/>
          <w:b/>
          <w:bCs/>
          <w:color w:val="000000"/>
          <w:kern w:val="0"/>
          <w:sz w:val="27"/>
          <w:szCs w:val="27"/>
          <w:lang w:eastAsia="es-ES_tradnl"/>
          <w14:ligatures w14:val="none"/>
        </w:rPr>
        <w:t>5.2 Comportamiento digital y conversión</w:t>
      </w:r>
    </w:p>
    <w:p w14:paraId="15451872" w14:textId="524295D4" w:rsidR="005D2A8B" w:rsidRPr="007F165B" w:rsidRDefault="005D2A8B" w:rsidP="007F165B">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5D2A8B">
        <w:rPr>
          <w:rFonts w:ascii="Times New Roman" w:eastAsia="Times New Roman" w:hAnsi="Times New Roman" w:cs="Times New Roman"/>
          <w:color w:val="000000"/>
          <w:kern w:val="0"/>
          <w:lang w:eastAsia="es-ES_tradnl"/>
          <w14:ligatures w14:val="none"/>
        </w:rPr>
        <w:t>El estudio del comportamiento digital indica que un mayor número de visitas web mensuales no garantiza una mayor probabilidad de suscripción.</w:t>
      </w:r>
      <w:r w:rsidRPr="005D2A8B">
        <w:rPr>
          <w:rFonts w:ascii="Times New Roman" w:eastAsia="Times New Roman" w:hAnsi="Times New Roman" w:cs="Times New Roman"/>
          <w:color w:val="000000"/>
          <w:kern w:val="0"/>
          <w:lang w:eastAsia="es-ES_tradnl"/>
          <w14:ligatures w14:val="none"/>
        </w:rPr>
        <w:br/>
        <w:t>Sin embargo, esta variable aporta información relevante sobre el nivel de interacción y engagement del cliente, que puede resultar útil en análisis más avanzados.</w:t>
      </w:r>
    </w:p>
    <w:p w14:paraId="16C79799" w14:textId="77777777" w:rsidR="005D2A8B" w:rsidRPr="005D2A8B" w:rsidRDefault="005D2A8B" w:rsidP="005D2A8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ES_tradnl"/>
          <w14:ligatures w14:val="none"/>
        </w:rPr>
      </w:pPr>
      <w:r w:rsidRPr="005D2A8B">
        <w:rPr>
          <w:rFonts w:ascii="Times New Roman" w:eastAsia="Times New Roman" w:hAnsi="Times New Roman" w:cs="Times New Roman"/>
          <w:b/>
          <w:bCs/>
          <w:color w:val="000000"/>
          <w:kern w:val="0"/>
          <w:sz w:val="27"/>
          <w:szCs w:val="27"/>
          <w:lang w:eastAsia="es-ES_tradnl"/>
          <w14:ligatures w14:val="none"/>
        </w:rPr>
        <w:t>5.3 Matriz de correlación</w:t>
      </w:r>
    </w:p>
    <w:p w14:paraId="261468C3" w14:textId="016A19E4" w:rsidR="005D2A8B" w:rsidRPr="007F165B" w:rsidRDefault="005D2A8B" w:rsidP="007F165B">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5D2A8B">
        <w:rPr>
          <w:rFonts w:ascii="Times New Roman" w:eastAsia="Times New Roman" w:hAnsi="Times New Roman" w:cs="Times New Roman"/>
          <w:color w:val="000000"/>
          <w:kern w:val="0"/>
          <w:lang w:eastAsia="es-ES_tradnl"/>
          <w14:ligatures w14:val="none"/>
        </w:rPr>
        <w:t>La matriz de correlación del dataset unificado muestra una alta correlación entre las variables macroeconómicas, lo cual es coherente con su naturaleza estructural.</w:t>
      </w:r>
      <w:r w:rsidRPr="005D2A8B">
        <w:rPr>
          <w:rFonts w:ascii="Times New Roman" w:eastAsia="Times New Roman" w:hAnsi="Times New Roman" w:cs="Times New Roman"/>
          <w:color w:val="000000"/>
          <w:kern w:val="0"/>
          <w:lang w:eastAsia="es-ES_tradnl"/>
          <w14:ligatures w14:val="none"/>
        </w:rPr>
        <w:br/>
      </w:r>
      <w:r w:rsidRPr="005D2A8B">
        <w:rPr>
          <w:rFonts w:ascii="Times New Roman" w:eastAsia="Times New Roman" w:hAnsi="Times New Roman" w:cs="Times New Roman"/>
          <w:color w:val="000000"/>
          <w:kern w:val="0"/>
          <w:lang w:eastAsia="es-ES_tradnl"/>
          <w14:ligatures w14:val="none"/>
        </w:rPr>
        <w:lastRenderedPageBreak/>
        <w:t>En contraste, la variable objetivo presenta correlaciones bajas con el resto de variables, lo que sugiere que la conversión no responde a relaciones lineales simples.</w:t>
      </w:r>
    </w:p>
    <w:p w14:paraId="7803CD7E" w14:textId="77777777" w:rsidR="005D2A8B" w:rsidRPr="005D2A8B" w:rsidRDefault="005D2A8B" w:rsidP="005D2A8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ES_tradnl"/>
          <w14:ligatures w14:val="none"/>
        </w:rPr>
      </w:pPr>
      <w:r w:rsidRPr="005D2A8B">
        <w:rPr>
          <w:rFonts w:ascii="Times New Roman" w:eastAsia="Times New Roman" w:hAnsi="Times New Roman" w:cs="Times New Roman"/>
          <w:b/>
          <w:bCs/>
          <w:color w:val="000000"/>
          <w:kern w:val="0"/>
          <w:sz w:val="36"/>
          <w:szCs w:val="36"/>
          <w:lang w:eastAsia="es-ES_tradnl"/>
          <w14:ligatures w14:val="none"/>
        </w:rPr>
        <w:t>6. Conclusiones</w:t>
      </w:r>
    </w:p>
    <w:p w14:paraId="5E6B9EAD" w14:textId="5E6FFF71" w:rsidR="00C860CA" w:rsidRPr="007F165B" w:rsidRDefault="005D2A8B" w:rsidP="007F165B">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5D2A8B">
        <w:rPr>
          <w:rFonts w:ascii="Times New Roman" w:eastAsia="Times New Roman" w:hAnsi="Times New Roman" w:cs="Times New Roman"/>
          <w:color w:val="000000"/>
          <w:kern w:val="0"/>
          <w:lang w:eastAsia="es-ES_tradnl"/>
          <w14:ligatures w14:val="none"/>
        </w:rPr>
        <w:t>El análisis exploratorio realizado pone de manifiesto que la conversión en campañas de marketing es un fenómeno complejo y multivariable.</w:t>
      </w:r>
      <w:r w:rsidRPr="005D2A8B">
        <w:rPr>
          <w:rFonts w:ascii="Times New Roman" w:eastAsia="Times New Roman" w:hAnsi="Times New Roman" w:cs="Times New Roman"/>
          <w:color w:val="000000"/>
          <w:kern w:val="0"/>
          <w:lang w:eastAsia="es-ES_tradnl"/>
          <w14:ligatures w14:val="none"/>
        </w:rPr>
        <w:br/>
        <w:t>La integración de datos de cliente enriquece el análisis y aporta contexto adicional, aunque confirma que no existe una única variable explicativa dominante.</w:t>
      </w:r>
    </w:p>
    <w:sectPr w:rsidR="00C860CA" w:rsidRPr="007F165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4254D"/>
    <w:multiLevelType w:val="multilevel"/>
    <w:tmpl w:val="5E5E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403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A8B"/>
    <w:rsid w:val="000F7594"/>
    <w:rsid w:val="001C1397"/>
    <w:rsid w:val="005D2A8B"/>
    <w:rsid w:val="006416EC"/>
    <w:rsid w:val="00734306"/>
    <w:rsid w:val="00776B69"/>
    <w:rsid w:val="007F165B"/>
    <w:rsid w:val="00915E11"/>
    <w:rsid w:val="00AC4A1A"/>
    <w:rsid w:val="00C16015"/>
    <w:rsid w:val="00C65DF6"/>
    <w:rsid w:val="00C860CA"/>
    <w:rsid w:val="00E827D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F81FD"/>
  <w15:chartTrackingRefBased/>
  <w15:docId w15:val="{094C0B1E-9553-4945-9D7E-D4E640BF3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D2A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D2A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D2A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D2A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D2A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D2A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D2A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D2A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D2A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D2A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D2A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D2A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D2A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D2A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D2A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D2A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D2A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D2A8B"/>
    <w:rPr>
      <w:rFonts w:eastAsiaTheme="majorEastAsia" w:cstheme="majorBidi"/>
      <w:color w:val="272727" w:themeColor="text1" w:themeTint="D8"/>
    </w:rPr>
  </w:style>
  <w:style w:type="paragraph" w:styleId="Ttulo">
    <w:name w:val="Title"/>
    <w:basedOn w:val="Normal"/>
    <w:next w:val="Normal"/>
    <w:link w:val="TtuloCar"/>
    <w:uiPriority w:val="10"/>
    <w:qFormat/>
    <w:rsid w:val="005D2A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D2A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D2A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D2A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D2A8B"/>
    <w:pPr>
      <w:spacing w:before="160"/>
      <w:jc w:val="center"/>
    </w:pPr>
    <w:rPr>
      <w:i/>
      <w:iCs/>
      <w:color w:val="404040" w:themeColor="text1" w:themeTint="BF"/>
    </w:rPr>
  </w:style>
  <w:style w:type="character" w:customStyle="1" w:styleId="CitaCar">
    <w:name w:val="Cita Car"/>
    <w:basedOn w:val="Fuentedeprrafopredeter"/>
    <w:link w:val="Cita"/>
    <w:uiPriority w:val="29"/>
    <w:rsid w:val="005D2A8B"/>
    <w:rPr>
      <w:i/>
      <w:iCs/>
      <w:color w:val="404040" w:themeColor="text1" w:themeTint="BF"/>
    </w:rPr>
  </w:style>
  <w:style w:type="paragraph" w:styleId="Prrafodelista">
    <w:name w:val="List Paragraph"/>
    <w:basedOn w:val="Normal"/>
    <w:uiPriority w:val="34"/>
    <w:qFormat/>
    <w:rsid w:val="005D2A8B"/>
    <w:pPr>
      <w:ind w:left="720"/>
      <w:contextualSpacing/>
    </w:pPr>
  </w:style>
  <w:style w:type="character" w:styleId="nfasisintenso">
    <w:name w:val="Intense Emphasis"/>
    <w:basedOn w:val="Fuentedeprrafopredeter"/>
    <w:uiPriority w:val="21"/>
    <w:qFormat/>
    <w:rsid w:val="005D2A8B"/>
    <w:rPr>
      <w:i/>
      <w:iCs/>
      <w:color w:val="0F4761" w:themeColor="accent1" w:themeShade="BF"/>
    </w:rPr>
  </w:style>
  <w:style w:type="paragraph" w:styleId="Citadestacada">
    <w:name w:val="Intense Quote"/>
    <w:basedOn w:val="Normal"/>
    <w:next w:val="Normal"/>
    <w:link w:val="CitadestacadaCar"/>
    <w:uiPriority w:val="30"/>
    <w:qFormat/>
    <w:rsid w:val="005D2A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D2A8B"/>
    <w:rPr>
      <w:i/>
      <w:iCs/>
      <w:color w:val="0F4761" w:themeColor="accent1" w:themeShade="BF"/>
    </w:rPr>
  </w:style>
  <w:style w:type="character" w:styleId="Referenciaintensa">
    <w:name w:val="Intense Reference"/>
    <w:basedOn w:val="Fuentedeprrafopredeter"/>
    <w:uiPriority w:val="32"/>
    <w:qFormat/>
    <w:rsid w:val="005D2A8B"/>
    <w:rPr>
      <w:b/>
      <w:bCs/>
      <w:smallCaps/>
      <w:color w:val="0F4761" w:themeColor="accent1" w:themeShade="BF"/>
      <w:spacing w:val="5"/>
    </w:rPr>
  </w:style>
  <w:style w:type="paragraph" w:styleId="NormalWeb">
    <w:name w:val="Normal (Web)"/>
    <w:basedOn w:val="Normal"/>
    <w:uiPriority w:val="99"/>
    <w:unhideWhenUsed/>
    <w:rsid w:val="005D2A8B"/>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character" w:customStyle="1" w:styleId="apple-converted-space">
    <w:name w:val="apple-converted-space"/>
    <w:basedOn w:val="Fuentedeprrafopredeter"/>
    <w:rsid w:val="005D2A8B"/>
  </w:style>
  <w:style w:type="character" w:styleId="Fuerte">
    <w:name w:val="Strong"/>
    <w:basedOn w:val="Fuentedeprrafopredeter"/>
    <w:uiPriority w:val="22"/>
    <w:qFormat/>
    <w:rsid w:val="005D2A8B"/>
    <w:rPr>
      <w:b/>
      <w:bCs/>
    </w:rPr>
  </w:style>
  <w:style w:type="character" w:styleId="CdigoHTML">
    <w:name w:val="HTML Code"/>
    <w:basedOn w:val="Fuentedeprrafopredeter"/>
    <w:uiPriority w:val="99"/>
    <w:semiHidden/>
    <w:unhideWhenUsed/>
    <w:rsid w:val="005D2A8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1040</Words>
  <Characters>6107</Characters>
  <Application>Microsoft Office Word</Application>
  <DocSecurity>0</DocSecurity>
  <Lines>119</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carla gallo</dc:creator>
  <cp:keywords/>
  <dc:description/>
  <cp:lastModifiedBy>carla gallo</cp:lastModifiedBy>
  <cp:revision>4</cp:revision>
  <dcterms:created xsi:type="dcterms:W3CDTF">2026-02-17T09:26:00Z</dcterms:created>
  <dcterms:modified xsi:type="dcterms:W3CDTF">2026-02-17T09:56:00Z</dcterms:modified>
</cp:coreProperties>
</file>