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AA9A1" w14:textId="77777777" w:rsidR="005D2A8B" w:rsidRPr="005D2A8B" w:rsidRDefault="005D2A8B" w:rsidP="005D2A8B">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s-ES_tradnl"/>
          <w14:ligatures w14:val="none"/>
        </w:rPr>
      </w:pPr>
      <w:r w:rsidRPr="005D2A8B">
        <w:rPr>
          <w:rFonts w:ascii="Times New Roman" w:eastAsia="Times New Roman" w:hAnsi="Times New Roman" w:cs="Times New Roman"/>
          <w:b/>
          <w:bCs/>
          <w:color w:val="000000"/>
          <w:kern w:val="36"/>
          <w:sz w:val="48"/>
          <w:szCs w:val="48"/>
          <w:lang w:eastAsia="es-ES_tradnl"/>
          <w14:ligatures w14:val="none"/>
        </w:rPr>
        <w:t>Desarrollo del Análisis Exploratorio de Datos (EDA)</w:t>
      </w:r>
    </w:p>
    <w:p w14:paraId="63AA6326"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1. Contexto y estructura de los datos</w:t>
      </w:r>
    </w:p>
    <w:p w14:paraId="1AAA8498"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presente análisis exploratorio se realiza a partir de dos conjuntos de datos complementarios.</w:t>
      </w:r>
      <w:r w:rsidRPr="005D2A8B">
        <w:rPr>
          <w:rFonts w:ascii="Times New Roman" w:eastAsia="Times New Roman" w:hAnsi="Times New Roman" w:cs="Times New Roman"/>
          <w:color w:val="000000"/>
          <w:kern w:val="0"/>
          <w:lang w:eastAsia="es-ES_tradnl"/>
          <w14:ligatures w14:val="none"/>
        </w:rPr>
        <w:br/>
        <w:t>El primero recoge información relativa a campañas de marketing, incluyendo características sociodemográficas, variables macroeconómicas, información del contacto y una variable objetivo binaria (</w:t>
      </w:r>
      <w:r w:rsidRPr="005D2A8B">
        <w:rPr>
          <w:rFonts w:ascii="Courier New" w:eastAsia="Times New Roman" w:hAnsi="Courier New" w:cs="Courier New"/>
          <w:color w:val="000000"/>
          <w:kern w:val="0"/>
          <w:sz w:val="20"/>
          <w:szCs w:val="20"/>
          <w:lang w:eastAsia="es-ES_tradnl"/>
          <w14:ligatures w14:val="none"/>
        </w:rPr>
        <w:t>y</w:t>
      </w:r>
      <w:r w:rsidRPr="005D2A8B">
        <w:rPr>
          <w:rFonts w:ascii="Times New Roman" w:eastAsia="Times New Roman" w:hAnsi="Times New Roman" w:cs="Times New Roman"/>
          <w:color w:val="000000"/>
          <w:kern w:val="0"/>
          <w:lang w:eastAsia="es-ES_tradnl"/>
          <w14:ligatures w14:val="none"/>
        </w:rPr>
        <w:t>) que indica si el cliente suscribió o no el producto ofertado.</w:t>
      </w:r>
      <w:r w:rsidRPr="005D2A8B">
        <w:rPr>
          <w:rFonts w:ascii="Times New Roman" w:eastAsia="Times New Roman" w:hAnsi="Times New Roman" w:cs="Times New Roman"/>
          <w:color w:val="000000"/>
          <w:kern w:val="0"/>
          <w:lang w:eastAsia="es-ES_tradnl"/>
          <w14:ligatures w14:val="none"/>
        </w:rPr>
        <w:br/>
        <w:t>El segundo dataset contiene información adicional de clientes, centrada en variables económicas, estructura familiar y comportamiento digital.</w:t>
      </w:r>
    </w:p>
    <w:p w14:paraId="1AAD8241"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Ambos conjuntos de datos comparten un identificador común (</w:t>
      </w:r>
      <w:r w:rsidRPr="005D2A8B">
        <w:rPr>
          <w:rFonts w:ascii="Courier New" w:eastAsia="Times New Roman" w:hAnsi="Courier New" w:cs="Courier New"/>
          <w:color w:val="000000"/>
          <w:kern w:val="0"/>
          <w:sz w:val="20"/>
          <w:szCs w:val="20"/>
          <w:lang w:eastAsia="es-ES_tradnl"/>
          <w14:ligatures w14:val="none"/>
        </w:rPr>
        <w:t>id</w:t>
      </w:r>
      <w:r w:rsidRPr="005D2A8B">
        <w:rPr>
          <w:rFonts w:ascii="Times New Roman" w:eastAsia="Times New Roman" w:hAnsi="Times New Roman" w:cs="Times New Roman"/>
          <w:color w:val="000000"/>
          <w:kern w:val="0"/>
          <w:lang w:eastAsia="es-ES_tradnl"/>
          <w14:ligatures w14:val="none"/>
        </w:rPr>
        <w:t>), lo que permite su integración para un análisis conjunto orientado a enriquecer la interpretación de los resultados.</w:t>
      </w:r>
    </w:p>
    <w:p w14:paraId="0D6AB296"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00A00FFE">
          <v:rect id="_x0000_i1034" alt="" style="width:425.2pt;height:.05pt;mso-width-percent:0;mso-height-percent:0;mso-width-percent:0;mso-height-percent:0" o:hralign="center" o:hrstd="t" o:hr="t" fillcolor="#a0a0a0" stroked="f"/>
        </w:pict>
      </w:r>
    </w:p>
    <w:p w14:paraId="5151D618"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2. Análisis descriptivo del dataset de marketing</w:t>
      </w:r>
    </w:p>
    <w:p w14:paraId="4B8F3A00"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2.1 Variable objetivo</w:t>
      </w:r>
    </w:p>
    <w:p w14:paraId="50B0DF53"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de la variable </w:t>
      </w:r>
      <w:r w:rsidRPr="005D2A8B">
        <w:rPr>
          <w:rFonts w:ascii="Courier New" w:eastAsia="Times New Roman" w:hAnsi="Courier New" w:cs="Courier New"/>
          <w:color w:val="000000"/>
          <w:kern w:val="0"/>
          <w:sz w:val="20"/>
          <w:szCs w:val="20"/>
          <w:lang w:eastAsia="es-ES_tradnl"/>
          <w14:ligatures w14:val="none"/>
        </w:rPr>
        <w:t>y</w:t>
      </w:r>
      <w:r w:rsidRPr="005D2A8B">
        <w:rPr>
          <w:rFonts w:ascii="Times New Roman" w:eastAsia="Times New Roman" w:hAnsi="Times New Roman" w:cs="Times New Roman"/>
          <w:color w:val="000000"/>
          <w:kern w:val="0"/>
          <w:lang w:eastAsia="es-ES_tradnl"/>
          <w14:ligatures w14:val="none"/>
        </w:rPr>
        <w:t> muestra un claro desbalanceo entre las clases, siendo mayoritaria la categoría correspondiente a campañas sin conversión.</w:t>
      </w:r>
      <w:r w:rsidRPr="005D2A8B">
        <w:rPr>
          <w:rFonts w:ascii="Times New Roman" w:eastAsia="Times New Roman" w:hAnsi="Times New Roman" w:cs="Times New Roman"/>
          <w:color w:val="000000"/>
          <w:kern w:val="0"/>
          <w:lang w:eastAsia="es-ES_tradnl"/>
          <w14:ligatures w14:val="none"/>
        </w:rPr>
        <w:br/>
        <w:t>Este comportamiento es consistente con escenarios reales de marketing, donde la tasa de éxito suele ser reducida en relación con el volumen total de contactos.</w:t>
      </w:r>
    </w:p>
    <w:p w14:paraId="2C745E60"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Este desbalanceo es tenido en cuenta en la interpretación de los resultados posteriores.</w:t>
      </w:r>
    </w:p>
    <w:p w14:paraId="07555FF2"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6D983512">
          <v:rect id="_x0000_i1033" alt="" style="width:425.2pt;height:.05pt;mso-width-percent:0;mso-height-percent:0;mso-width-percent:0;mso-height-percent:0" o:hralign="center" o:hrstd="t" o:hr="t" fillcolor="#a0a0a0" stroked="f"/>
        </w:pict>
      </w:r>
    </w:p>
    <w:p w14:paraId="714E7CEF"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2.2 Variables categóricas</w:t>
      </w:r>
    </w:p>
    <w:p w14:paraId="6B1BDB9A"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descriptivo de variables categóricas relevantes como el nivel educativo, estado civil, tipo de empleo o canal de contacto revela diferencias en la proporción de suscripciones entre los distintos grupos.</w:t>
      </w:r>
    </w:p>
    <w:p w14:paraId="26C489AD"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Si bien ninguna categoría resulta determinante por sí misma, se observan variaciones que sugieren que el perfil sociodemográfico influye en la probabilidad de conversión, reforzando la idea de un comportamiento heterogéneo entre los clientes contactados.</w:t>
      </w:r>
    </w:p>
    <w:p w14:paraId="5CE26685"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0E40C6EA">
          <v:rect id="_x0000_i1032" alt="" style="width:425.2pt;height:.05pt;mso-width-percent:0;mso-height-percent:0;mso-width-percent:0;mso-height-percent:0" o:hralign="center" o:hrstd="t" o:hr="t" fillcolor="#a0a0a0" stroked="f"/>
        </w:pict>
      </w:r>
    </w:p>
    <w:p w14:paraId="7483F0C1"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2.3 Variables numéricas</w:t>
      </w:r>
    </w:p>
    <w:p w14:paraId="04B8004C"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lastRenderedPageBreak/>
        <w:t>El análisis estadístico de las variables numéricas permite identificar rangos, dispersión y posibles valores extremos.</w:t>
      </w:r>
      <w:r w:rsidRPr="005D2A8B">
        <w:rPr>
          <w:rFonts w:ascii="Times New Roman" w:eastAsia="Times New Roman" w:hAnsi="Times New Roman" w:cs="Times New Roman"/>
          <w:color w:val="000000"/>
          <w:kern w:val="0"/>
          <w:lang w:eastAsia="es-ES_tradnl"/>
          <w14:ligatures w14:val="none"/>
        </w:rPr>
        <w:br/>
        <w:t>Variables como la edad, el número de contactos realizados durante la campaña y la duración de la llamada presentan distribuciones asimétricas, habituales en este tipo de datos.</w:t>
      </w:r>
    </w:p>
    <w:p w14:paraId="21F0118B" w14:textId="2C909C7B" w:rsid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Este análisis proporciona una base para explorar relaciones más profundas con la variabl</w:t>
      </w:r>
      <w:r>
        <w:rPr>
          <w:rFonts w:ascii="Times New Roman" w:eastAsia="Times New Roman" w:hAnsi="Times New Roman" w:cs="Times New Roman"/>
          <w:color w:val="000000"/>
          <w:kern w:val="0"/>
          <w:lang w:eastAsia="es-ES_tradnl"/>
          <w14:ligatures w14:val="none"/>
        </w:rPr>
        <w:t>e</w:t>
      </w:r>
      <w:r w:rsidRPr="005D2A8B">
        <w:rPr>
          <w:rFonts w:ascii="Times New Roman" w:eastAsia="Times New Roman" w:hAnsi="Times New Roman" w:cs="Times New Roman"/>
          <w:color w:val="000000"/>
          <w:kern w:val="0"/>
          <w:lang w:eastAsia="es-ES_tradnl"/>
          <w14:ligatures w14:val="none"/>
        </w:rPr>
        <w:t xml:space="preserve"> objetivo.</w:t>
      </w:r>
    </w:p>
    <w:p w14:paraId="6CB68C3E" w14:textId="4B53AE39"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Pr>
          <w:rFonts w:ascii="Times New Roman" w:eastAsia="Times New Roman" w:hAnsi="Times New Roman" w:cs="Times New Roman"/>
          <w:b/>
          <w:bCs/>
          <w:color w:val="000000"/>
          <w:kern w:val="0"/>
          <w:sz w:val="27"/>
          <w:szCs w:val="27"/>
          <w:lang w:eastAsia="es-ES_tradnl"/>
          <w14:ligatures w14:val="none"/>
        </w:rPr>
        <w:t xml:space="preserve">2.4 </w:t>
      </w:r>
      <w:r w:rsidRPr="005D2A8B">
        <w:rPr>
          <w:rFonts w:ascii="Times New Roman" w:eastAsia="Times New Roman" w:hAnsi="Times New Roman" w:cs="Times New Roman"/>
          <w:b/>
          <w:bCs/>
          <w:color w:val="000000"/>
          <w:kern w:val="0"/>
          <w:sz w:val="27"/>
          <w:szCs w:val="27"/>
          <w:lang w:eastAsia="es-ES_tradnl"/>
          <w14:ligatures w14:val="none"/>
        </w:rPr>
        <w:t>Tratamiento de la variable temporal y valores nulos</w:t>
      </w:r>
    </w:p>
    <w:p w14:paraId="322F2694"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La variable de fecha presentaba un número significativo de valores nulos. La eliminación de estos registros no fue considerada una opción adecuada, ya que habría supuesto una pérdida relevante de información y la posible introducción de sesgos en el análisis.</w:t>
      </w:r>
    </w:p>
    <w:p w14:paraId="55E7BF93"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Dado que la ausencia de fecha podía estar asociada a incidencias operativas durante las campañas, se optó por conservar dichos registros y tratar la variable mediante una estrategia combinada. En primer lugar, se creó una variable indicadora (</w:t>
      </w:r>
      <w:r w:rsidRPr="005D2A8B">
        <w:rPr>
          <w:rFonts w:ascii="Courier New" w:eastAsia="Times New Roman" w:hAnsi="Courier New" w:cs="Courier New"/>
          <w:color w:val="000000"/>
          <w:kern w:val="0"/>
          <w:sz w:val="20"/>
          <w:szCs w:val="20"/>
          <w:lang w:eastAsia="es-ES_tradnl"/>
          <w14:ligatures w14:val="none"/>
        </w:rPr>
        <w:t>date_missing</w:t>
      </w:r>
      <w:r w:rsidRPr="005D2A8B">
        <w:rPr>
          <w:rFonts w:ascii="Times New Roman" w:eastAsia="Times New Roman" w:hAnsi="Times New Roman" w:cs="Times New Roman"/>
          <w:color w:val="000000"/>
          <w:kern w:val="0"/>
          <w:lang w:eastAsia="es-ES_tradnl"/>
          <w14:ligatures w14:val="none"/>
        </w:rPr>
        <w:t>) para identificar los casos en los que la fecha original no estaba disponible, permitiendo analizar posteriormente si esta ausencia tenía un significado analítico propio.</w:t>
      </w:r>
    </w:p>
    <w:p w14:paraId="36AD5301"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Adicionalmente, se realizó una imputación de la fecha utilizando un estadístico robusto (mediana), exclusivamente con el objetivo de habilitar el análisis temporal. Esta imputación no se emplea como variable explicativa directa, sino como un recurso técnico para derivar variables como el año, el mes o el día de la semana.</w:t>
      </w:r>
    </w:p>
    <w:p w14:paraId="325616B8"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exploratorio posterior confirma que esta decisión no introduce correlaciones espurias y permite preservar la integridad del conjunto de datos, manteniendo al mismo tiempo la trazabilidad de los valores originalmente ausentes.</w:t>
      </w:r>
    </w:p>
    <w:p w14:paraId="55BC10EA" w14:textId="77777777" w:rsidR="00E827D0" w:rsidRDefault="00E827D0" w:rsidP="00E827D0">
      <w:pPr>
        <w:pStyle w:val="NormalWeb"/>
        <w:rPr>
          <w:color w:val="000000"/>
        </w:rPr>
      </w:pPr>
      <w:r>
        <w:rPr>
          <w:color w:val="000000"/>
        </w:rPr>
        <w:t>Con el objetivo de validar la decisión tomada respecto al tratamiento de los valores nulos en la variable temporal, se realizó un análisis gráfico complementario. En primer lugar, se comparó el comportamiento de la variable objetivo en función de la disponibilidad de la fecha original, observándose que la ausencia de fecha no introduce distorsiones significativas en la conversión.</w:t>
      </w:r>
    </w:p>
    <w:p w14:paraId="3C91851F" w14:textId="52F94AB5" w:rsidR="005D2A8B" w:rsidRPr="005D2A8B" w:rsidRDefault="00E827D0" w:rsidP="00E827D0">
      <w:pPr>
        <w:pStyle w:val="NormalWeb"/>
        <w:rPr>
          <w:color w:val="000000"/>
        </w:rPr>
      </w:pPr>
      <w:r>
        <w:rPr>
          <w:color w:val="000000"/>
        </w:rPr>
        <w:t>Asimismo, la imputación permitió llevar a cabo un análisis temporal de la tasa de conversión, identificando variaciones a lo largo del año. Estos resultados refuerzan la idoneidad de la estrategia adoptada, al posibilitar el análisis temporal sin comprometer la integridad del conjunto de datos ni ocultar la información originalmente ausente.</w:t>
      </w:r>
    </w:p>
    <w:p w14:paraId="11DDC23D"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19FBD61A">
          <v:rect id="_x0000_i1031" alt="" style="width:425.2pt;height:.05pt;mso-width-percent:0;mso-height-percent:0;mso-width-percent:0;mso-height-percent:0" o:hralign="center" o:hrstd="t" o:hr="t" fillcolor="#a0a0a0" stroked="f"/>
        </w:pict>
      </w:r>
    </w:p>
    <w:p w14:paraId="03714F3E"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3. Análisis cuantitativo: relación con la conversión</w:t>
      </w:r>
    </w:p>
    <w:p w14:paraId="2CF9B007"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3.1 Variables numéricas y suscripción</w:t>
      </w:r>
    </w:p>
    <w:p w14:paraId="01E2C05B"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lastRenderedPageBreak/>
        <w:t>Al comparar las medias de distintas variables numéricas según el valor de </w:t>
      </w:r>
      <w:r w:rsidRPr="005D2A8B">
        <w:rPr>
          <w:rFonts w:ascii="Courier New" w:eastAsia="Times New Roman" w:hAnsi="Courier New" w:cs="Courier New"/>
          <w:color w:val="000000"/>
          <w:kern w:val="0"/>
          <w:sz w:val="20"/>
          <w:szCs w:val="20"/>
          <w:lang w:eastAsia="es-ES_tradnl"/>
          <w14:ligatures w14:val="none"/>
        </w:rPr>
        <w:t>y</w:t>
      </w:r>
      <w:r w:rsidRPr="005D2A8B">
        <w:rPr>
          <w:rFonts w:ascii="Times New Roman" w:eastAsia="Times New Roman" w:hAnsi="Times New Roman" w:cs="Times New Roman"/>
          <w:color w:val="000000"/>
          <w:kern w:val="0"/>
          <w:lang w:eastAsia="es-ES_tradnl"/>
          <w14:ligatures w14:val="none"/>
        </w:rPr>
        <w:t>, se observa que la duración del contacto es la variable que presenta una diferencia más significativa entre campañas exitosas y no exitosas.</w:t>
      </w:r>
    </w:p>
    <w:p w14:paraId="72FA254B"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Las campañas con suscripción tienden a estar asociadas a llamadas de mayor duración, lo que sugiere un mayor nivel de interacción o interés por parte del cliente.</w:t>
      </w:r>
      <w:r w:rsidRPr="005D2A8B">
        <w:rPr>
          <w:rFonts w:ascii="Times New Roman" w:eastAsia="Times New Roman" w:hAnsi="Times New Roman" w:cs="Times New Roman"/>
          <w:color w:val="000000"/>
          <w:kern w:val="0"/>
          <w:lang w:eastAsia="es-ES_tradnl"/>
          <w14:ligatures w14:val="none"/>
        </w:rPr>
        <w:br/>
        <w:t>Por el contrario, un mayor número de contactos durante una misma campaña no se traduce necesariamente en una mayor probabilidad de conversión.</w:t>
      </w:r>
    </w:p>
    <w:p w14:paraId="01759DF8"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7CA8F4CD">
          <v:rect id="_x0000_i1030" alt="" style="width:425.2pt;height:.05pt;mso-width-percent:0;mso-height-percent:0;mso-width-percent:0;mso-height-percent:0" o:hralign="center" o:hrstd="t" o:hr="t" fillcolor="#a0a0a0" stroked="f"/>
        </w:pict>
      </w:r>
    </w:p>
    <w:p w14:paraId="1839F6E8"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3.2 Interpretación general</w:t>
      </w:r>
    </w:p>
    <w:p w14:paraId="02C1E486"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Los resultados indican que la conversión no depende de un único factor, sino de la combinación de características del cliente, el contexto económico y la interacción durante la campaña.</w:t>
      </w:r>
      <w:r w:rsidRPr="005D2A8B">
        <w:rPr>
          <w:rFonts w:ascii="Times New Roman" w:eastAsia="Times New Roman" w:hAnsi="Times New Roman" w:cs="Times New Roman"/>
          <w:color w:val="000000"/>
          <w:kern w:val="0"/>
          <w:lang w:eastAsia="es-ES_tradnl"/>
          <w14:ligatures w14:val="none"/>
        </w:rPr>
        <w:br/>
        <w:t>Este comportamiento refuerza la naturaleza multivariable del problema analizado.</w:t>
      </w:r>
    </w:p>
    <w:p w14:paraId="6368972C"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259133CB">
          <v:rect id="_x0000_i1029" alt="" style="width:425.2pt;height:.05pt;mso-width-percent:0;mso-height-percent:0;mso-width-percent:0;mso-height-percent:0" o:hralign="center" o:hrstd="t" o:hr="t" fillcolor="#a0a0a0" stroked="f"/>
        </w:pict>
      </w:r>
    </w:p>
    <w:p w14:paraId="3E7C54CE"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4. Análisis descriptivo del dataset de clientes</w:t>
      </w:r>
    </w:p>
    <w:p w14:paraId="42CE4584"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dataset de clientes aporta información adicional sobre el perfil económico, la estructura familiar y el nivel de interacción digital.</w:t>
      </w:r>
    </w:p>
    <w:p w14:paraId="7E4DBB41"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descriptivo muestra una distribución de ingresos concentrada en tramos medios, así como una variabilidad relevante en el número de visitas mensuales al sitio web.</w:t>
      </w:r>
      <w:r w:rsidRPr="005D2A8B">
        <w:rPr>
          <w:rFonts w:ascii="Times New Roman" w:eastAsia="Times New Roman" w:hAnsi="Times New Roman" w:cs="Times New Roman"/>
          <w:color w:val="000000"/>
          <w:kern w:val="0"/>
          <w:lang w:eastAsia="es-ES_tradnl"/>
          <w14:ligatures w14:val="none"/>
        </w:rPr>
        <w:br/>
        <w:t>Estas variables permiten caracterizar mejor al cliente más allá de la información estrictamente asociada a la campaña.</w:t>
      </w:r>
    </w:p>
    <w:p w14:paraId="0715B8CF"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3EBFAD82">
          <v:rect id="_x0000_i1028" alt="" style="width:425.2pt;height:.05pt;mso-width-percent:0;mso-height-percent:0;mso-width-percent:0;mso-height-percent:0" o:hralign="center" o:hrstd="t" o:hr="t" fillcolor="#a0a0a0" stroked="f"/>
        </w:pict>
      </w:r>
    </w:p>
    <w:p w14:paraId="675F8AFA"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5. Análisis del dataset unificado</w:t>
      </w:r>
    </w:p>
    <w:p w14:paraId="57639859"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La integración de ambos conjuntos de datos permite analizar la conversión desde una perspectiva más amplia.</w:t>
      </w:r>
    </w:p>
    <w:p w14:paraId="22D86E04"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5.1 Perfil económico y conversión</w:t>
      </w:r>
    </w:p>
    <w:p w14:paraId="64016791"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de los ingresos en relación con la variable objetivo muestra que los clientes que suscriben tienden, en promedio, a presentar ingresos ligeramente superiores.</w:t>
      </w:r>
      <w:r w:rsidRPr="005D2A8B">
        <w:rPr>
          <w:rFonts w:ascii="Times New Roman" w:eastAsia="Times New Roman" w:hAnsi="Times New Roman" w:cs="Times New Roman"/>
          <w:color w:val="000000"/>
          <w:kern w:val="0"/>
          <w:lang w:eastAsia="es-ES_tradnl"/>
          <w14:ligatures w14:val="none"/>
        </w:rPr>
        <w:br/>
        <w:t>No obstante, esta diferencia no es lo suficientemente marcada como para considerarla un factor determinante de forma aislada.</w:t>
      </w:r>
    </w:p>
    <w:p w14:paraId="24EF16E5"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4093F798">
          <v:rect id="_x0000_i1027" alt="" style="width:425.2pt;height:.05pt;mso-width-percent:0;mso-height-percent:0;mso-width-percent:0;mso-height-percent:0" o:hralign="center" o:hrstd="t" o:hr="t" fillcolor="#a0a0a0" stroked="f"/>
        </w:pict>
      </w:r>
    </w:p>
    <w:p w14:paraId="034E1448"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5.2 Comportamiento digital y conversión</w:t>
      </w:r>
    </w:p>
    <w:p w14:paraId="656CAD66"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lastRenderedPageBreak/>
        <w:t>El estudio del comportamiento digital indica que un mayor número de visitas web mensuales no garantiza una mayor probabilidad de suscripción.</w:t>
      </w:r>
      <w:r w:rsidRPr="005D2A8B">
        <w:rPr>
          <w:rFonts w:ascii="Times New Roman" w:eastAsia="Times New Roman" w:hAnsi="Times New Roman" w:cs="Times New Roman"/>
          <w:color w:val="000000"/>
          <w:kern w:val="0"/>
          <w:lang w:eastAsia="es-ES_tradnl"/>
          <w14:ligatures w14:val="none"/>
        </w:rPr>
        <w:br/>
        <w:t>Sin embargo, esta variable aporta información relevante sobre el nivel de interacción y engagement del cliente, que puede resultar útil en análisis más avanzados.</w:t>
      </w:r>
    </w:p>
    <w:p w14:paraId="15451872"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72400CA7">
          <v:rect id="_x0000_i1026" alt="" style="width:425.2pt;height:.05pt;mso-width-percent:0;mso-height-percent:0;mso-width-percent:0;mso-height-percent:0" o:hralign="center" o:hrstd="t" o:hr="t" fillcolor="#a0a0a0" stroked="f"/>
        </w:pict>
      </w:r>
    </w:p>
    <w:p w14:paraId="16C79799" w14:textId="77777777" w:rsidR="005D2A8B" w:rsidRPr="005D2A8B" w:rsidRDefault="005D2A8B" w:rsidP="005D2A8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s-ES_tradnl"/>
          <w14:ligatures w14:val="none"/>
        </w:rPr>
      </w:pPr>
      <w:r w:rsidRPr="005D2A8B">
        <w:rPr>
          <w:rFonts w:ascii="Times New Roman" w:eastAsia="Times New Roman" w:hAnsi="Times New Roman" w:cs="Times New Roman"/>
          <w:b/>
          <w:bCs/>
          <w:color w:val="000000"/>
          <w:kern w:val="0"/>
          <w:sz w:val="27"/>
          <w:szCs w:val="27"/>
          <w:lang w:eastAsia="es-ES_tradnl"/>
          <w14:ligatures w14:val="none"/>
        </w:rPr>
        <w:t>5.3 Matriz de correlación</w:t>
      </w:r>
    </w:p>
    <w:p w14:paraId="020F7551"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La matriz de correlación del dataset unificado muestra una alta correlación entre las variables macroeconómicas, lo cual es coherente con su naturaleza estructural.</w:t>
      </w:r>
      <w:r w:rsidRPr="005D2A8B">
        <w:rPr>
          <w:rFonts w:ascii="Times New Roman" w:eastAsia="Times New Roman" w:hAnsi="Times New Roman" w:cs="Times New Roman"/>
          <w:color w:val="000000"/>
          <w:kern w:val="0"/>
          <w:lang w:eastAsia="es-ES_tradnl"/>
          <w14:ligatures w14:val="none"/>
        </w:rPr>
        <w:br/>
        <w:t>En contraste, la variable objetivo presenta correlaciones bajas con el resto de variables, lo que sugiere que la conversión no responde a relaciones lineales simples.</w:t>
      </w:r>
    </w:p>
    <w:p w14:paraId="261468C3" w14:textId="77777777" w:rsidR="005D2A8B" w:rsidRPr="005D2A8B" w:rsidRDefault="00001CEF" w:rsidP="005D2A8B">
      <w:pPr>
        <w:spacing w:after="0" w:line="240" w:lineRule="auto"/>
        <w:rPr>
          <w:rFonts w:ascii="Times New Roman" w:eastAsia="Times New Roman" w:hAnsi="Times New Roman" w:cs="Times New Roman"/>
          <w:kern w:val="0"/>
          <w:lang w:eastAsia="es-ES_tradnl"/>
          <w14:ligatures w14:val="none"/>
        </w:rPr>
      </w:pPr>
      <w:r w:rsidRPr="00001CEF">
        <w:rPr>
          <w:rFonts w:ascii="Times New Roman" w:eastAsia="Times New Roman" w:hAnsi="Times New Roman" w:cs="Times New Roman"/>
          <w:noProof/>
          <w:kern w:val="0"/>
          <w:lang w:eastAsia="es-ES_tradnl"/>
        </w:rPr>
        <w:pict w14:anchorId="2957AE1A">
          <v:rect id="_x0000_i1025" alt="" style="width:425.2pt;height:.05pt;mso-width-percent:0;mso-height-percent:0;mso-width-percent:0;mso-height-percent:0" o:hralign="center" o:hrstd="t" o:hr="t" fillcolor="#a0a0a0" stroked="f"/>
        </w:pict>
      </w:r>
    </w:p>
    <w:p w14:paraId="7803CD7E" w14:textId="77777777" w:rsidR="005D2A8B" w:rsidRPr="005D2A8B" w:rsidRDefault="005D2A8B" w:rsidP="005D2A8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s-ES_tradnl"/>
          <w14:ligatures w14:val="none"/>
        </w:rPr>
      </w:pPr>
      <w:r w:rsidRPr="005D2A8B">
        <w:rPr>
          <w:rFonts w:ascii="Times New Roman" w:eastAsia="Times New Roman" w:hAnsi="Times New Roman" w:cs="Times New Roman"/>
          <w:b/>
          <w:bCs/>
          <w:color w:val="000000"/>
          <w:kern w:val="0"/>
          <w:sz w:val="36"/>
          <w:szCs w:val="36"/>
          <w:lang w:eastAsia="es-ES_tradnl"/>
          <w14:ligatures w14:val="none"/>
        </w:rPr>
        <w:t>6. Conclusiones</w:t>
      </w:r>
    </w:p>
    <w:p w14:paraId="44EF44A6"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El análisis exploratorio realizado pone de manifiesto que la conversión en campañas de marketing es un fenómeno complejo y multivariable.</w:t>
      </w:r>
      <w:r w:rsidRPr="005D2A8B">
        <w:rPr>
          <w:rFonts w:ascii="Times New Roman" w:eastAsia="Times New Roman" w:hAnsi="Times New Roman" w:cs="Times New Roman"/>
          <w:color w:val="000000"/>
          <w:kern w:val="0"/>
          <w:lang w:eastAsia="es-ES_tradnl"/>
          <w14:ligatures w14:val="none"/>
        </w:rPr>
        <w:br/>
        <w:t>La integración de datos de cliente enriquece el análisis y aporta contexto adicional, aunque confirma que no existe una única variable explicativa dominante.</w:t>
      </w:r>
    </w:p>
    <w:p w14:paraId="2A29611C" w14:textId="77777777" w:rsidR="005D2A8B" w:rsidRPr="005D2A8B" w:rsidRDefault="005D2A8B" w:rsidP="005D2A8B">
      <w:pPr>
        <w:spacing w:before="100" w:beforeAutospacing="1" w:after="100" w:afterAutospacing="1" w:line="240" w:lineRule="auto"/>
        <w:rPr>
          <w:rFonts w:ascii="Times New Roman" w:eastAsia="Times New Roman" w:hAnsi="Times New Roman" w:cs="Times New Roman"/>
          <w:color w:val="000000"/>
          <w:kern w:val="0"/>
          <w:lang w:eastAsia="es-ES_tradnl"/>
          <w14:ligatures w14:val="none"/>
        </w:rPr>
      </w:pPr>
      <w:r w:rsidRPr="005D2A8B">
        <w:rPr>
          <w:rFonts w:ascii="Times New Roman" w:eastAsia="Times New Roman" w:hAnsi="Times New Roman" w:cs="Times New Roman"/>
          <w:color w:val="000000"/>
          <w:kern w:val="0"/>
          <w:lang w:eastAsia="es-ES_tradnl"/>
          <w14:ligatures w14:val="none"/>
        </w:rPr>
        <w:t>Estos resultados sientan una base sólida para fases posteriores del análisis, como la modelización predictiva o la segmentación de clientes, donde la combinación de variables puede resultar clave para mejorar la toma de decisiones.</w:t>
      </w:r>
    </w:p>
    <w:p w14:paraId="5E6B9EAD" w14:textId="77777777" w:rsidR="00C860CA" w:rsidRDefault="00C860CA"/>
    <w:sectPr w:rsidR="00C860C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4254D"/>
    <w:multiLevelType w:val="multilevel"/>
    <w:tmpl w:val="5E5E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403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A8B"/>
    <w:rsid w:val="00001CEF"/>
    <w:rsid w:val="001C1397"/>
    <w:rsid w:val="005D2A8B"/>
    <w:rsid w:val="006416EC"/>
    <w:rsid w:val="00C16015"/>
    <w:rsid w:val="00C65DF6"/>
    <w:rsid w:val="00C860CA"/>
    <w:rsid w:val="00E827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F81FD"/>
  <w15:chartTrackingRefBased/>
  <w15:docId w15:val="{094C0B1E-9553-4945-9D7E-D4E640BF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A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D2A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D2A8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D2A8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D2A8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D2A8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A8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A8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A8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A8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D2A8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D2A8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D2A8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D2A8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D2A8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A8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A8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A8B"/>
    <w:rPr>
      <w:rFonts w:eastAsiaTheme="majorEastAsia" w:cstheme="majorBidi"/>
      <w:color w:val="272727" w:themeColor="text1" w:themeTint="D8"/>
    </w:rPr>
  </w:style>
  <w:style w:type="paragraph" w:styleId="Ttulo">
    <w:name w:val="Title"/>
    <w:basedOn w:val="Normal"/>
    <w:next w:val="Normal"/>
    <w:link w:val="TtuloCar"/>
    <w:uiPriority w:val="10"/>
    <w:qFormat/>
    <w:rsid w:val="005D2A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A8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A8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A8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A8B"/>
    <w:pPr>
      <w:spacing w:before="160"/>
      <w:jc w:val="center"/>
    </w:pPr>
    <w:rPr>
      <w:i/>
      <w:iCs/>
      <w:color w:val="404040" w:themeColor="text1" w:themeTint="BF"/>
    </w:rPr>
  </w:style>
  <w:style w:type="character" w:customStyle="1" w:styleId="CitaCar">
    <w:name w:val="Cita Car"/>
    <w:basedOn w:val="Fuentedeprrafopredeter"/>
    <w:link w:val="Cita"/>
    <w:uiPriority w:val="29"/>
    <w:rsid w:val="005D2A8B"/>
    <w:rPr>
      <w:i/>
      <w:iCs/>
      <w:color w:val="404040" w:themeColor="text1" w:themeTint="BF"/>
    </w:rPr>
  </w:style>
  <w:style w:type="paragraph" w:styleId="Prrafodelista">
    <w:name w:val="List Paragraph"/>
    <w:basedOn w:val="Normal"/>
    <w:uiPriority w:val="34"/>
    <w:qFormat/>
    <w:rsid w:val="005D2A8B"/>
    <w:pPr>
      <w:ind w:left="720"/>
      <w:contextualSpacing/>
    </w:pPr>
  </w:style>
  <w:style w:type="character" w:styleId="nfasisintenso">
    <w:name w:val="Intense Emphasis"/>
    <w:basedOn w:val="Fuentedeprrafopredeter"/>
    <w:uiPriority w:val="21"/>
    <w:qFormat/>
    <w:rsid w:val="005D2A8B"/>
    <w:rPr>
      <w:i/>
      <w:iCs/>
      <w:color w:val="0F4761" w:themeColor="accent1" w:themeShade="BF"/>
    </w:rPr>
  </w:style>
  <w:style w:type="paragraph" w:styleId="Citadestacada">
    <w:name w:val="Intense Quote"/>
    <w:basedOn w:val="Normal"/>
    <w:next w:val="Normal"/>
    <w:link w:val="CitadestacadaCar"/>
    <w:uiPriority w:val="30"/>
    <w:qFormat/>
    <w:rsid w:val="005D2A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D2A8B"/>
    <w:rPr>
      <w:i/>
      <w:iCs/>
      <w:color w:val="0F4761" w:themeColor="accent1" w:themeShade="BF"/>
    </w:rPr>
  </w:style>
  <w:style w:type="character" w:styleId="Referenciaintensa">
    <w:name w:val="Intense Reference"/>
    <w:basedOn w:val="Fuentedeprrafopredeter"/>
    <w:uiPriority w:val="32"/>
    <w:qFormat/>
    <w:rsid w:val="005D2A8B"/>
    <w:rPr>
      <w:b/>
      <w:bCs/>
      <w:smallCaps/>
      <w:color w:val="0F4761" w:themeColor="accent1" w:themeShade="BF"/>
      <w:spacing w:val="5"/>
    </w:rPr>
  </w:style>
  <w:style w:type="paragraph" w:styleId="NormalWeb">
    <w:name w:val="Normal (Web)"/>
    <w:basedOn w:val="Normal"/>
    <w:uiPriority w:val="99"/>
    <w:unhideWhenUsed/>
    <w:rsid w:val="005D2A8B"/>
    <w:pPr>
      <w:spacing w:before="100" w:beforeAutospacing="1" w:after="100" w:afterAutospacing="1" w:line="240" w:lineRule="auto"/>
    </w:pPr>
    <w:rPr>
      <w:rFonts w:ascii="Times New Roman" w:eastAsia="Times New Roman" w:hAnsi="Times New Roman" w:cs="Times New Roman"/>
      <w:kern w:val="0"/>
      <w:lang w:eastAsia="es-ES_tradnl"/>
      <w14:ligatures w14:val="none"/>
    </w:rPr>
  </w:style>
  <w:style w:type="character" w:customStyle="1" w:styleId="apple-converted-space">
    <w:name w:val="apple-converted-space"/>
    <w:basedOn w:val="Fuentedeprrafopredeter"/>
    <w:rsid w:val="005D2A8B"/>
  </w:style>
  <w:style w:type="character" w:styleId="Fuerte">
    <w:name w:val="Strong"/>
    <w:basedOn w:val="Fuentedeprrafopredeter"/>
    <w:uiPriority w:val="22"/>
    <w:qFormat/>
    <w:rsid w:val="005D2A8B"/>
    <w:rPr>
      <w:b/>
      <w:bCs/>
    </w:rPr>
  </w:style>
  <w:style w:type="character" w:styleId="CdigoHTML">
    <w:name w:val="HTML Code"/>
    <w:basedOn w:val="Fuentedeprrafopredeter"/>
    <w:uiPriority w:val="99"/>
    <w:semiHidden/>
    <w:unhideWhenUsed/>
    <w:rsid w:val="005D2A8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1145</Words>
  <Characters>6173</Characters>
  <Application>Microsoft Office Word</Application>
  <DocSecurity>0</DocSecurity>
  <Lines>123</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gallo</dc:creator>
  <cp:keywords/>
  <dc:description/>
  <cp:lastModifiedBy>carla gallo</cp:lastModifiedBy>
  <cp:revision>2</cp:revision>
  <dcterms:created xsi:type="dcterms:W3CDTF">2026-02-13T13:22:00Z</dcterms:created>
  <dcterms:modified xsi:type="dcterms:W3CDTF">2026-02-17T08:52:00Z</dcterms:modified>
</cp:coreProperties>
</file>