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采购管理制度</w:t>
      </w:r>
    </w:p>
    <w:p>
      <w:pPr>
        <w:pStyle w:val="Heading1"/>
      </w:pPr>
      <w:r>
        <w:t>第一章 总则</w:t>
      </w:r>
    </w:p>
    <w:p>
      <w:r>
        <w:t>本制度适用于公司所有采购活动，包括原材料采购、辅材采购、设备采购及服务采购。</w:t>
      </w:r>
    </w:p>
    <w:p>
      <w:r>
        <w:t>采购遵循公平竞争、价值最优、合规透明的原则。所有采购活动须在ERP系统中留存完整记录。</w:t>
      </w:r>
    </w:p>
    <w:p>
      <w:pPr>
        <w:pStyle w:val="Heading1"/>
      </w:pPr>
      <w:r>
        <w:t>第二章 供应商管理</w:t>
      </w:r>
    </w:p>
    <w:p>
      <w:r>
        <w:t>新供应商准入须通过：①资质审查 ②样品测试 ③小批量试单 ④正式合同签署四个阶段。</w:t>
      </w:r>
    </w:p>
    <w:p>
      <w:r>
        <w:t>供应商年度评估于每年12月进行，评估维度：价格竞争力（30%）、交期履约（30%）、质量水平（30%）、配合度（10%）。</w:t>
      </w:r>
    </w:p>
    <w:p>
      <w:r>
        <w:t>评估总分&lt;70分自动降级，&lt;60分启动替换程序，替换期间须保证备选供应商库存覆盖3个月需求。</w:t>
      </w:r>
    </w:p>
    <w:p>
      <w:pPr>
        <w:pStyle w:val="Heading1"/>
      </w:pPr>
      <w:r>
        <w:t>第三章 采购流程</w:t>
      </w:r>
    </w:p>
    <w:p>
      <w:r>
        <w:t>需求申请：业务部门在ERP提交采购申请，填写物料编码、需求数量、需求时间、用途说明。</w:t>
      </w:r>
    </w:p>
    <w:p>
      <w:r>
        <w:t>询价比价：单次采购金额&gt;5万须进行3家以上询价，&gt;50万须进行正式招标。</w:t>
      </w:r>
    </w:p>
    <w:p>
      <w:r>
        <w:t>合同签署：合同须经法务审核，金额&gt;100万须总裁签署，金额&lt;100万采购VP签署。</w:t>
      </w:r>
    </w:p>
    <w:p>
      <w:r>
        <w:t>收货验收：仓库收货时须执行IQC入库检验，出具检验报告后方可入库。</w:t>
      </w:r>
    </w:p>
    <w:p>
      <w:pPr>
        <w:pStyle w:val="Heading1"/>
      </w:pPr>
      <w:r>
        <w:t>第四章 紧急采购</w:t>
      </w:r>
    </w:p>
    <w:p>
      <w:r>
        <w:t>紧急采购定义：库存低于安全库存50%，或生产线面临停产风险时启动。</w:t>
      </w:r>
    </w:p>
    <w:p>
      <w:r>
        <w:t>紧急采购流程：采购员直接联系备选供应商 → 口头确认价格 → 发送采购订单 → 事后补齐审批手续。</w:t>
      </w:r>
    </w:p>
    <w:p>
      <w:r>
        <w:t>紧急采购溢价不得超过市场价15%，否则须采购VP特批。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