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课程设计与教学规范</w:t>
      </w:r>
    </w:p>
    <w:p>
      <w:pPr>
        <w:pStyle w:val="Heading1"/>
      </w:pPr>
      <w:r>
        <w:t>1. 课程体系框架</w:t>
      </w:r>
    </w:p>
    <w:p>
      <w:r>
        <w:t>第一学年：通识基础课（高等数学、线性代数、大学英语、程序设计基础）</w:t>
      </w:r>
    </w:p>
    <w:p>
      <w:r>
        <w:t>第二学年：专业基础课（数据结构、算法分析、数据库原理、操作系统）</w:t>
      </w:r>
    </w:p>
    <w:p>
      <w:r>
        <w:t>第三学年：专业核心课（机器学习、深度学习、计算机视觉、NLP）+ 方向选修</w:t>
      </w:r>
    </w:p>
    <w:p>
      <w:r>
        <w:t>第四学年：毕业设计（30学分）+ 企业实习（6学分）</w:t>
      </w:r>
    </w:p>
    <w:p>
      <w:pPr>
        <w:pStyle w:val="Heading1"/>
      </w:pPr>
      <w:r>
        <w:t>2. 课程前置要求</w:t>
      </w:r>
    </w:p>
    <w:p>
      <w:r>
        <w:t>机器学习 → 前置：高等数学（微积分）≥75分 + 线性代数≥70分 + Python基础≥70分</w:t>
      </w:r>
    </w:p>
    <w:p>
      <w:r>
        <w:t>深度学习 → 前置：机器学习≥75分</w:t>
      </w:r>
    </w:p>
    <w:p>
      <w:r>
        <w:t>计算机视觉 → 前置：深度学习≥70分</w:t>
      </w:r>
    </w:p>
    <w:p>
      <w:r>
        <w:t>自然语言处理 → 前置：深度学习≥70分 + 概率论≥65分</w:t>
      </w:r>
    </w:p>
    <w:p>
      <w:pPr>
        <w:pStyle w:val="Heading1"/>
      </w:pPr>
      <w:r>
        <w:t>3. 教学质量规则</w:t>
      </w:r>
    </w:p>
    <w:p>
      <w:r>
        <w:t>课程满意度调查每学期进行，低于3.5/5.0触发教学督导介入</w:t>
      </w:r>
    </w:p>
    <w:p>
      <w:r>
        <w:t>IF 期末成绩分布：优秀率（≥90分）&gt; 30% THEN 审查评分标准是否过于宽松</w:t>
      </w:r>
    </w:p>
    <w:p>
      <w:r>
        <w:t>IF 不及格率 &gt; 30% THEN 审查教学难度和题目合理性</w:t>
      </w:r>
    </w:p>
    <w:p>
      <w:r>
        <w:t>助教授课不得超过总课时的20%，超过须经教学委员会审批</w:t>
      </w:r>
    </w:p>
    <w:p>
      <w:pPr>
        <w:pStyle w:val="Heading1"/>
      </w:pPr>
      <w:r>
        <w:t>4. 毕业论文管理</w:t>
      </w:r>
    </w:p>
    <w:p>
      <w:r>
        <w:t>选题确认：大四第一学期第8周前完成选题审批</w:t>
      </w:r>
    </w:p>
    <w:p>
      <w:r>
        <w:t>开题报告：第10周前提交，导师+教研室主任联合审核</w:t>
      </w:r>
    </w:p>
    <w:p>
      <w:r>
        <w:t>中期检查：第二学期第6周，导师检查研究进度，进度&lt;30%发出预警</w:t>
      </w:r>
    </w:p>
    <w:p>
      <w:r>
        <w:t>答辩资格：IF 查重率 &gt; 15% THEN 不允许参加答辩，须修改后重新提交</w:t>
      </w:r>
    </w:p>
    <w:p>
      <w:r>
        <w:t>答辩结果：三票以上委员同意方可通过（答辩委员会5人）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