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合同全生命周期管理操作规程 v2</w:t>
      </w:r>
    </w:p>
    <w:p>
      <w:pPr>
        <w:pStyle w:val="Heading1"/>
      </w:pPr>
      <w:r>
        <w:t>1. 实体关系：合同与相关角色</w:t>
      </w:r>
    </w:p>
    <w:p>
      <w:r>
        <w:t>起草人（业务部门员工）→ 在CMS系统创建合同草稿 → 填写必备字段：主体、金额、标的、支付、违约、争议。</w:t>
      </w:r>
    </w:p>
    <w:p>
      <w:r>
        <w:t>法务专员 ← 系统自动分配 ← 合同草稿（按合同类型路由：采购→合同专员A，劳动→HR法务专员B）。</w:t>
      </w:r>
    </w:p>
    <w:p>
      <w:r>
        <w:t>法务总监 ← 系统推送终审任务 ← 已通过专员初审的重大合同（金额&gt;50万 或 含知识产权）。</w:t>
      </w:r>
    </w:p>
    <w:p>
      <w:r>
        <w:t>业务VP ← 系统推送确认通知 ← 终审通过的合同，VP确认后推送给签署方。</w:t>
      </w:r>
    </w:p>
    <w:p>
      <w:r>
        <w:t>CFO/CEO ← 系统推送签署请求 ← 合同金额&gt;100万，同时抄送审计委员会。</w:t>
      </w:r>
    </w:p>
    <w:p>
      <w:pPr>
        <w:pStyle w:val="Heading1"/>
      </w:pPr>
      <w:r>
        <w:t>2. 合同审核流程与动作触发</w:t>
      </w:r>
    </w:p>
    <w:p>
      <w:r>
        <w:t>Step 1：起草人提交至CMS → 系统动作：验证必填字段完整性，若缺失则拒绝提交并列出缺失项。</w:t>
      </w:r>
    </w:p>
    <w:p>
      <w:r>
        <w:t>Step 2：法务专员初审（1个工作日）→ 动作：标注修改意见 / 通过。IF 实质性修改 THEN 退回起草人 + 发送修改说明。</w:t>
      </w:r>
    </w:p>
    <w:p>
      <w:r>
        <w:t>Step 3：法务总监终审（2个工作日，重大合同）→ 动作：审批通过 / 退回。IF 外部律所介入 THEN 发起外部审核工单（5个工作日）。</w:t>
      </w:r>
    </w:p>
    <w:p>
      <w:r>
        <w:t>Step 4：业务VP确认 → 动作：确认对外发送谈判稿。IF VP不认可法务意见 THEN 必须发起三方讨论会，记录会议纪要。</w:t>
      </w:r>
    </w:p>
    <w:p>
      <w:r>
        <w:t>Step 5：签署完成 → 系统动作：CMS状态变更为「有效」；触发存档流程；设置到期提醒（90/60/30/7天）。</w:t>
      </w:r>
    </w:p>
    <w:p>
      <w:pPr>
        <w:pStyle w:val="Heading1"/>
      </w:pPr>
      <w:r>
        <w:t>3. 合同履行监控自动化动作</w:t>
      </w:r>
    </w:p>
    <w:p>
      <w:r>
        <w:t>IF 合同到期前90天 THEN 系统自动发送邮件：收件人=合同负责人+法务负责人，主题=「合同到期提醒-90天」，附合同摘要。</w:t>
      </w:r>
    </w:p>
    <w:p>
      <w:r>
        <w:t>IF 合同到期前30天且续约状态=未启动 THEN 系统自动升级通知至VP，法务标记为「高优先级续约」。</w:t>
      </w:r>
    </w:p>
    <w:p>
      <w:r>
        <w:t>IF 付款里程碑到期3天内未收款 THEN 法务发送书面催款确认；超7天 → 发送正式催款函（含违约提示）。</w:t>
      </w:r>
    </w:p>
    <w:p>
      <w:r>
        <w:t>IF 合同标的物未按时交付超15天 THEN 触发违约责任调查工单，法务评估索赔可行性，生成索赔测算报告。</w:t>
      </w:r>
    </w:p>
    <w:p>
      <w:pPr>
        <w:pStyle w:val="Heading1"/>
      </w:pPr>
      <w:r>
        <w:t>4. 争议处理标准动作序列</w:t>
      </w:r>
    </w:p>
    <w:p>
      <w:r>
        <w:t>T+0（发现争议）：业务部门通知法务，法务建立案件档案，收集所有往来证据（邮件/微信/合同/发票）。</w:t>
      </w:r>
    </w:p>
    <w:p>
      <w:r>
        <w:t>T+3天：法务出具初步法律意见书，评估争议性质（合同违约/侵权/不当得利）和胜诉概率（高/中/低）。</w:t>
      </w:r>
    </w:p>
    <w:p>
      <w:r>
        <w:t>T+7天（争议金额&lt;50万）：内部法务主导协商，发送和解邀请函，设定15天响应期限。</w:t>
      </w:r>
    </w:p>
    <w:p>
      <w:r>
        <w:t>T+7天（争议金额≥50万）：启动外部律所遴选（3家以上），签署委托协议，移交全部证据材料。</w:t>
      </w:r>
    </w:p>
    <w:p>
      <w:r>
        <w:t>IF 协商超30天无进展 THEN 提交仲裁申请，同步向对方发送仲裁通知，申请财产保全（若资产风险）。</w:t>
      </w:r>
    </w:p>
    <w:p>
      <w:r>
        <w:t>IF 对方提出诉讼/仲裁通知 THEN 法务须在48小时内评估并制定应对策略，启动紧急应诉流程。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