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客户成功运营手册</w:t>
      </w:r>
    </w:p>
    <w:p>
      <w:pPr>
        <w:pStyle w:val="Heading1"/>
      </w:pPr>
      <w:r>
        <w:t>1. 客户入职（Onboarding）</w:t>
      </w:r>
    </w:p>
    <w:p>
      <w:r>
        <w:t>合同签署后3个工作日内，CSM完成首次欢迎拜访（视频会议或现场）。</w:t>
      </w:r>
    </w:p>
    <w:p>
      <w:r>
        <w:t>制定客户成功计划（Success Plan），包含：目标KPI、里程碑时间表、风险点识别。</w:t>
      </w:r>
    </w:p>
    <w:p>
      <w:r>
        <w:t>IF 客户30天内未完成初始配置 THEN 触发技术支持介入，并在健康度中扣分。</w:t>
      </w:r>
    </w:p>
    <w:p>
      <w:r>
        <w:t>60天Check-in：评估产品使用率，如MAU&lt;预期50%，启动使用激活专项。</w:t>
      </w:r>
    </w:p>
    <w:p>
      <w:pPr>
        <w:pStyle w:val="Heading1"/>
      </w:pPr>
      <w:r>
        <w:t>2. 日常运营节奏</w:t>
      </w:r>
    </w:p>
    <w:p>
      <w:r>
        <w:t>S级客户：每月现场EBR（业务评审），每周微信/邮件简报</w:t>
      </w:r>
    </w:p>
    <w:p>
      <w:r>
        <w:t>A级客户：每季度视频EBR，每月数据报告</w:t>
      </w:r>
    </w:p>
    <w:p>
      <w:r>
        <w:t>B级客户：每半年健康度评估，自助客户门户</w:t>
      </w:r>
    </w:p>
    <w:p>
      <w:r>
        <w:t>IF 任何等级客户健康度&lt;60 THEN 立即升级为'救援模式'，周频跟进</w:t>
      </w:r>
    </w:p>
    <w:p>
      <w:pPr>
        <w:pStyle w:val="Heading1"/>
      </w:pPr>
      <w:r>
        <w:t>3. 续约流程</w:t>
      </w:r>
    </w:p>
    <w:p>
      <w:r>
        <w:t>T-90天：发起内部续约评审会，评估健康度、扩展机会、风险点</w:t>
      </w:r>
    </w:p>
    <w:p>
      <w:r>
        <w:t>T-60天：向客户发起续约沟通，递交续约提案</w:t>
      </w:r>
    </w:p>
    <w:p>
      <w:r>
        <w:t>T-30天：如未签约，上报VP，启动挽留方案（可能涉及折扣）</w:t>
      </w:r>
    </w:p>
    <w:p>
      <w:r>
        <w:t>续约折扣审批：≤5% CSM Leader批准，5-15% VP批准，&gt;15% CEO批准</w:t>
      </w:r>
    </w:p>
    <w:p>
      <w:pPr>
        <w:pStyle w:val="Heading1"/>
      </w:pPr>
      <w:r>
        <w:t>4. 扩展销售（Upsell/Crosssell）</w:t>
      </w:r>
    </w:p>
    <w:p>
      <w:r>
        <w:t>客户健康度&gt;75且满6个月使用后，CSM主动发起扩展销售对话</w:t>
      </w:r>
    </w:p>
    <w:p>
      <w:r>
        <w:t>IF 扩展金额 &gt; 50万 THEN CSM + AE联合跟进</w:t>
      </w:r>
    </w:p>
    <w:p>
      <w:r>
        <w:t>每季度CSM须识别至少1个扩展机会（A/S级客户必须完成）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