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月末结账操作手册</w:t>
      </w:r>
    </w:p>
    <w:p>
      <w:pPr>
        <w:pStyle w:val="Heading1"/>
      </w:pPr>
      <w:r>
        <w:t>1. 结账时间表</w:t>
      </w:r>
    </w:p>
    <w:p>
      <w:r>
        <w:t>D+1（次月1日）：完成所有报销单录入，截止时间18:00</w:t>
      </w:r>
    </w:p>
    <w:p>
      <w:r>
        <w:t>D+2：财务BP完成收入确认，AR团队完成发票核对</w:t>
      </w:r>
    </w:p>
    <w:p>
      <w:r>
        <w:t>D+3：完成固定资产折旧计提，完成预提费用确认</w:t>
      </w:r>
    </w:p>
    <w:p>
      <w:r>
        <w:t>D+4：完成成本结转，生成初步利润表</w:t>
      </w:r>
    </w:p>
    <w:p>
      <w:r>
        <w:t>D+5：CFO Review，处理异常科目，发布最终报表</w:t>
      </w:r>
    </w:p>
    <w:p>
      <w:pPr>
        <w:pStyle w:val="Heading1"/>
      </w:pPr>
      <w:r>
        <w:t>2. 关键控制点</w:t>
      </w:r>
    </w:p>
    <w:p>
      <w:r>
        <w:t>收入确认：所有收入须有已签署合同+交付确认函，缺一不可。</w:t>
      </w:r>
    </w:p>
    <w:p>
      <w:r>
        <w:t>IF 收入确认缺少合同支撑 THEN 该收入挂应收，不得确认当月收入。</w:t>
      </w:r>
    </w:p>
    <w:p>
      <w:r>
        <w:t>成本配比：收入与成本须在同一期间确认，禁止跨期调整。</w:t>
      </w:r>
    </w:p>
    <w:p>
      <w:r>
        <w:t>银行对账：财务必须每月核对所有银行账户，差异须在结账前消除。</w:t>
      </w:r>
    </w:p>
    <w:p>
      <w:pPr>
        <w:pStyle w:val="Heading1"/>
      </w:pPr>
      <w:r>
        <w:t>3. 异常处理规则</w:t>
      </w:r>
    </w:p>
    <w:p>
      <w:r>
        <w:t>IF 科目余额异常（如资产出现负值、费用出现贷方余额）THEN 当天内查明原因并处理。</w:t>
      </w:r>
    </w:p>
    <w:p>
      <w:r>
        <w:t>IF 供应商对账差异 &gt; 1000元 THEN 不得关闭该供应商对账，须在下月5日前处理。</w:t>
      </w:r>
    </w:p>
    <w:p>
      <w:r>
        <w:t>IF 税务申报数据与账面不符 THEN 立即上报税务BP，不得擅自处理。</w:t>
      </w:r>
    </w:p>
    <w:p>
      <w:pPr>
        <w:pStyle w:val="Heading1"/>
      </w:pPr>
      <w:r>
        <w:t>4. 税务合规</w:t>
      </w:r>
    </w:p>
    <w:p>
      <w:r>
        <w:t>增值税申报：每月15日前完成上月增值税申报及缴纳。</w:t>
      </w:r>
    </w:p>
    <w:p>
      <w:r>
        <w:t>企业所得税：季度预缴，次月15日前完成；年度汇算清缴，次年5月31日前完成。</w:t>
      </w:r>
    </w:p>
    <w:p>
      <w:r>
        <w:t>IF 税务稽查 THEN 所有原始凭证须10年内保存，不得销毁。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