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绩效管理操作手册 v2 — 含系统动作说明</w:t>
      </w:r>
    </w:p>
    <w:p>
      <w:pPr>
        <w:pStyle w:val="Heading1"/>
      </w:pPr>
      <w:r>
        <w:t>1. 绩效评估流程与系统动作</w:t>
      </w:r>
    </w:p>
    <w:p>
      <w:r>
        <w:t>Step 1（季度末-14天）：系统动作-发起自评通知 — 员工收到OKR填写邀请，设置7天截止时间，逾期系统自动提醒。</w:t>
      </w:r>
    </w:p>
    <w:p>
      <w:r>
        <w:t>Step 2（季度末-7天）：系统动作-发起上级评估 — Leader收到评估任务，权重60%，须在3天内完成，逾期升级通知VP。</w:t>
      </w:r>
    </w:p>
    <w:p>
      <w:r>
        <w:t>Step 3（季度末-5天）：系统动作-发起360评估 — 系统自动邀请3-5个同级/跨部门同事，匿名填写，权重20%。</w:t>
      </w:r>
    </w:p>
    <w:p>
      <w:r>
        <w:t>Step 4（季度末-2天）：系统动作-触发校准会 — 部门所有绩效汇总，HR系统检查强制分布是否合规（S≤10%，A≤40%，C≥15%）。</w:t>
      </w:r>
    </w:p>
    <w:p>
      <w:r>
        <w:t>Step 4触发：IF 分布不合规 THEN 系统动作-发送校准预警，要求Leader在24小时内调整，否则HR BP介入强制校准。</w:t>
      </w:r>
    </w:p>
    <w:p>
      <w:r>
        <w:t>Step 5（季度末）：系统动作-发送绩效结果通知 — 通知员工本季绩效等级及对应调薪/激励方案，Leader须在48小时内完成一对一反馈确认。</w:t>
      </w:r>
    </w:p>
    <w:p>
      <w:pPr>
        <w:pStyle w:val="Heading1"/>
      </w:pPr>
      <w:r>
        <w:t>2. PIP执行与系统动作</w:t>
      </w:r>
    </w:p>
    <w:p>
      <w:r>
        <w:t>触发条件：连续2个季度绩效评级为C，或单季度OKR得分&lt;2.5且Leader评分&lt;3.0（明显不达标）。</w:t>
      </w:r>
    </w:p>
    <w:p>
      <w:r>
        <w:t>Step 1：系统动作-创建PIP工单 — HR BP收到工单，须在5天内与员工和Leader完成PIP启动面谈。</w:t>
      </w:r>
    </w:p>
    <w:p>
      <w:r>
        <w:t>Step 2：系统动作-生成PIP文件 — 包含3个可量化改进目标，HR BP + 法务审核（防劳动仲裁风险）。</w:t>
      </w:r>
    </w:p>
    <w:p>
      <w:r>
        <w:t>Step 3：系统动作-发送PIP通知书 — 正式通知员工（邮件+OA系统），员工须在3天内签收确认。</w:t>
      </w:r>
    </w:p>
    <w:p>
      <w:r>
        <w:t>Step 4（30天节点）：系统动作-发送中期检查提醒 — HR BP收到评估任务，员工完成中期自评。</w:t>
      </w:r>
    </w:p>
    <w:p>
      <w:r>
        <w:t>Step 5（60天节点）：系统动作-发送进度预警 — IF 中期评估=未达标 THEN 发送预警给HR VP和业务VP。</w:t>
      </w:r>
    </w:p>
    <w:p>
      <w:r>
        <w:t>Step 6（90天）：系统动作-发起最终评估 — Leader + HR BP共同评定。IF 通过 THEN 解除PIP，恢复正常流程；IF 未通过 THEN 触发劝退程序。</w:t>
      </w:r>
    </w:p>
    <w:p>
      <w:r>
        <w:t>劝退程序动作：生成劝退通知书（法务审核）、计算经济补偿金（N+1）、发起离职流程。</w:t>
      </w:r>
    </w:p>
    <w:p>
      <w:pPr>
        <w:pStyle w:val="Heading1"/>
      </w:pPr>
      <w:r>
        <w:t>3. 强制分布与校准动作</w:t>
      </w:r>
    </w:p>
    <w:p>
      <w:r>
        <w:t>强制分布规则：S≤10%，A≤40%，B≤35%，C≥15%（部门级），各部门不可将分布压力全推到相邻部门。</w:t>
      </w:r>
    </w:p>
    <w:p>
      <w:r>
        <w:t>系统动作-自动检测：每季度评估结束后，系统扫描全公司分布，标记不合规部门。</w:t>
      </w:r>
    </w:p>
    <w:p>
      <w:r>
        <w:t>IF 部门S比例&gt;10% THEN 系统动作-要求Leader降级处理，HR BP介入协调，须提供降级依据。</w:t>
      </w:r>
    </w:p>
    <w:p>
      <w:r>
        <w:t>IF 部门C比例&lt;15% THEN 系统动作-标记为分布异常，HR BP约谈部门总监，须提供说明（是否有特殊业务背景）。</w:t>
      </w:r>
    </w:p>
    <w:p>
      <w:r>
        <w:t>校准会记录：全程录入HR系统，作为员工申诉证据，保存3年。</w:t>
      </w:r>
    </w:p>
    <w:p>
      <w:pPr>
        <w:pStyle w:val="Heading1"/>
      </w:pPr>
      <w:r>
        <w:t>4. 跨部门调动绩效规则</w:t>
      </w:r>
    </w:p>
    <w:p>
      <w:r>
        <w:t>调动当季：原部门Leader评定60% + 新部门Leader评定40%，须在调动前明确告知员工。</w:t>
      </w:r>
    </w:p>
    <w:p>
      <w:r>
        <w:t>系统动作：调动申请审批通过时，HR系统自动创建当季绩效联合评估工单，分配给两位Leader。</w:t>
      </w:r>
    </w:p>
    <w:p>
      <w:r>
        <w:t>调动后第一个完整季度：新部门Leader独立评估，原部门Leader不再参与。</w:t>
      </w:r>
    </w:p>
    <w:p>
      <w:r>
        <w:t>IF 跨部门调动导致薪资低于新部门同级P50 THEN 系统动作：自动生成调薪建议，推送给新部门VP审批。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