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采购管理制度与流程规范</w:t>
      </w:r>
    </w:p>
    <w:p>
      <w:pPr>
        <w:pStyle w:val="Heading1"/>
      </w:pPr>
      <w:r>
        <w:t>1. 总则</w:t>
      </w:r>
    </w:p>
    <w:p>
      <w:r>
        <w:t>本制度适用于公司所有原材料、零部件、包装材料及生产辅料的采购活动，旨在规范采购流程，降低采购成本，保障供应安全。</w:t>
      </w:r>
    </w:p>
    <w:p>
      <w:pPr>
        <w:pStyle w:val="Heading1"/>
      </w:pPr>
      <w:r>
        <w:t>2. 采购组织架构</w:t>
      </w:r>
    </w:p>
    <w:p>
      <w:r>
        <w:t>采购部门下设三个小组：战略采购组、日常采购组、供应商管理组。</w:t>
      </w:r>
    </w:p>
    <w:p>
      <w:r>
        <w:t>• 战略采购组：负责大宗原材料、关键零部件的长期协议谈判</w:t>
      </w:r>
    </w:p>
    <w:p>
      <w:r>
        <w:t>• 日常采购组：负责标准物料的常规采购和订单处理</w:t>
      </w:r>
    </w:p>
    <w:p>
      <w:r>
        <w:t>• 供应商管理组：负责供应商资质审核、绩效评估、关系维护</w:t>
      </w:r>
    </w:p>
    <w:p>
      <w:pPr>
        <w:pStyle w:val="Heading1"/>
      </w:pPr>
      <w:r>
        <w:t>3. 采购流程</w:t>
      </w:r>
    </w:p>
    <w:p>
      <w:r>
        <w:t>3.1 需求申请：生产部门根据生产计划提交物料需求申请（MR），审批权限：5万元以下由部门主管批准，5-50万元由采购总监批准，50万元以上需总经理审批。</w:t>
      </w:r>
    </w:p>
    <w:p>
      <w:r>
        <w:t>3.2 供应商选择：优先从合格供应商名录中选择，紧急采购时可临时引入并事后补充资质审核。</w:t>
      </w:r>
    </w:p>
    <w:p>
      <w:r>
        <w:t>3.3 询价比价：金额超过2万元须至少3家供应商报价，选择综合评分最优者。</w:t>
      </w:r>
    </w:p>
    <w:p>
      <w:r>
        <w:t>3.4 采购订单（PO）：由系统自动生成订单号，格式为PO-YYYYMM-XXXX。</w:t>
      </w:r>
    </w:p>
    <w:p>
      <w:r>
        <w:t>3.5 收货验收：仓库按采购订单核对数量，质检部门按标准抽检，不合格品退回供应商。</w:t>
      </w:r>
    </w:p>
    <w:p>
      <w:r>
        <w:t>3.6 对账付款：月末对账，次月15日前完成付款，账期通常为月结30-60天。</w:t>
      </w:r>
    </w:p>
    <w:p>
      <w:pPr>
        <w:pStyle w:val="Heading1"/>
      </w:pPr>
      <w:r>
        <w:t>4. 供应商分类管理</w:t>
      </w:r>
    </w:p>
    <w:p>
      <w:r>
        <w:t>A级供应商（战略合作）：年度交货准时率≥95%，质量合格率≥99%，享有优先合作权</w:t>
      </w:r>
    </w:p>
    <w:p>
      <w:r>
        <w:t>B级供应商（优质合作）：准时率≥90%，合格率≥97%，常规合作</w:t>
      </w:r>
    </w:p>
    <w:p>
      <w:r>
        <w:t>C级供应商（观察期）：准时率85-90%，合格率95-97%，限量合作，需整改</w:t>
      </w:r>
    </w:p>
    <w:p>
      <w:r>
        <w:t>D级供应商（淘汰候选）：准时率&lt;85%或合格率&lt;95%，停止新订单，启动替代</w:t>
      </w:r>
    </w:p>
    <w:p>
      <w:pPr>
        <w:pStyle w:val="Heading1"/>
      </w:pPr>
      <w:r>
        <w:t>5. 关键物料分类</w:t>
      </w:r>
    </w:p>
    <w:p>
      <w:r>
        <w:t>• 电子元器件类（Electronics）：芯片、电容、电阻、PCB、传感器</w:t>
      </w:r>
    </w:p>
    <w:p>
      <w:r>
        <w:t>• 金属原材料类（Metal Materials）：钢铁、铝合金、铜材</w:t>
      </w:r>
    </w:p>
    <w:p>
      <w:r>
        <w:t>• 化工材料类（Chemical Materials）：润滑剂、清洗剂、涂料、胶粘剂</w:t>
      </w:r>
    </w:p>
    <w:p>
      <w:r>
        <w:t>• 包装材料类（Packaging Materials）：纸箱、气泡膜、标签、防护膜</w:t>
      </w:r>
    </w:p>
    <w:p>
      <w:r>
        <w:t>• 机械零部件类（Mechanical Parts）：轴承、螺丝、模具、夹具</w:t>
      </w:r>
    </w:p>
    <w:p>
      <w:pPr>
        <w:pStyle w:val="Heading1"/>
      </w:pPr>
      <w:r>
        <w:t>6. 采购绩效指标（KPI）</w:t>
      </w:r>
    </w:p>
    <w:p>
      <w:r>
        <w:t>• 采购成本节约率：目标≥3%/年</w:t>
      </w:r>
    </w:p>
    <w:p>
      <w:r>
        <w:t>• 供应商准时交货率：目标≥92%</w:t>
      </w:r>
    </w:p>
    <w:p>
      <w:r>
        <w:t>• 采购订单处理时效：紧急订单≤24小时，普通订单≤3工作日</w:t>
      </w:r>
    </w:p>
    <w:p>
      <w:r>
        <w:t>• 物料短缺导致停线次数：目标0次/月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