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供应链全链路管理规范</w:t>
      </w:r>
    </w:p>
    <w:p>
      <w:pPr>
        <w:pStyle w:val="Heading1"/>
      </w:pPr>
      <w:r>
        <w:t>1. 供应链整体架构</w:t>
      </w:r>
    </w:p>
    <w:p>
      <w:r>
        <w:t>公司供应链覆盖从原材料采购到最终客户交付的完整链条，主要环节包括：供应商管理 → 采购管理 → 来料仓储 → 生产制造 → 成品仓储 → 物流配送 → 客户履约。</w:t>
      </w:r>
    </w:p>
    <w:p>
      <w:r>
        <w:t>核心目标：以最低的库存成本、最短的交货周期、最高的客户满意度完成订单履约。</w:t>
      </w:r>
    </w:p>
    <w:p>
      <w:pPr>
        <w:pStyle w:val="Heading1"/>
      </w:pPr>
      <w:r>
        <w:t>2. 关键实体与关系</w:t>
      </w:r>
    </w:p>
    <w:p>
      <w:r>
        <w:t>**供应商（Supplier）**与**采购订单（Purchase Order）**的关系：每张采购订单对应一个供应商，供应商提供物料或服务。</w:t>
      </w:r>
    </w:p>
    <w:p>
      <w:r>
        <w:t>**物料（Material）**与**产品（Product）**的关系：产品由多种物料组成（PART-OF关系），物料按类别（Category）归属（IS-A关系）。</w:t>
      </w:r>
    </w:p>
    <w:p>
      <w:r>
        <w:t>**仓库（Warehouse）**与**库存（Inventory）**的关系：仓库存储（stores）物料和成品库存。</w:t>
      </w:r>
    </w:p>
    <w:p>
      <w:r>
        <w:t>**生产工艺（Process）**与**物料/产品**的关系：生产工艺处理（processes）物料，生产出产品。</w:t>
      </w:r>
    </w:p>
    <w:p>
      <w:r>
        <w:t>**物流商（Logistics Provider）**与**发货单（Shipment）**的关系：物流商承运发货单，完成从仓库到客户的配送。</w:t>
      </w:r>
    </w:p>
    <w:p>
      <w:r>
        <w:t>**客户（Customer）**与**销售订单（Sales Order）**的关系：客户下达销售订单，触发生产和发货流程。</w:t>
      </w:r>
    </w:p>
    <w:p>
      <w:pPr>
        <w:pStyle w:val="Heading1"/>
      </w:pPr>
      <w:r>
        <w:t>3. 关键业务规则</w:t>
      </w:r>
    </w:p>
    <w:p>
      <w:r>
        <w:t>规则1-库存预警：IF 物料库存量 &lt; 安全库存量 THEN 自动生成补货申请，发送采购员预警通知</w:t>
      </w:r>
    </w:p>
    <w:p>
      <w:r>
        <w:t>规则2-供应商评级降级：IF 供应商月度准时率 &lt; 90% OR 质量合格率 &lt; 97% THEN 供应商评级下调一级，增加抽检比例</w:t>
      </w:r>
    </w:p>
    <w:p>
      <w:r>
        <w:t>规则3-紧急采购触发：IF 生产物料短缺 AND 最近供应商交货期 &gt; 产线需求时间 THEN 触发紧急采购流程，授权采购员直接比价下单</w:t>
      </w:r>
    </w:p>
    <w:p>
      <w:r>
        <w:t>规则4-物流异常处理：IF 运单状态在预计到达日期后24小时仍为运输中 THEN 触发物流异常预警，联系物流商确认</w:t>
      </w:r>
    </w:p>
    <w:p>
      <w:r>
        <w:t>规则5-客户信用控制：IF 客户应收账款超期 &gt; 30天 AND 超期金额 &gt; 50万元 THEN 暂停新订单接单，启动催款流程</w:t>
      </w:r>
    </w:p>
    <w:p>
      <w:r>
        <w:t>规则6-成品库存上限：IF 某产品成品库存 &gt; 最高库存量 THEN 暂停该产品生产计划，优先消化库存</w:t>
      </w:r>
    </w:p>
    <w:p>
      <w:pPr>
        <w:pStyle w:val="Heading1"/>
      </w:pPr>
      <w:r>
        <w:t>4. 物流分类</w:t>
      </w:r>
    </w:p>
    <w:p>
      <w:r>
        <w:t>**整车运输（FTL）**：适用于货量≥5吨或成品台数≥50台的大批量配送，主要合作：速达物流</w:t>
      </w:r>
    </w:p>
    <w:p>
      <w:r>
        <w:t>**零担运输（LTL）**：适用于1-5吨的中等批量，由速达物流或其他合作商承运</w:t>
      </w:r>
    </w:p>
    <w:p>
      <w:r>
        <w:t>**快递（Express）**：适用于小批量、高时效要求的配送，主要合作：顺丰快递、京东物流</w:t>
      </w:r>
    </w:p>
    <w:p>
      <w:r>
        <w:t>**自提（Self-pickup）**：部分本地客户或工厂直提</w:t>
      </w:r>
    </w:p>
    <w:p>
      <w:pPr>
        <w:pStyle w:val="Heading1"/>
      </w:pPr>
      <w:r>
        <w:t>5. 主要客户分类</w:t>
      </w:r>
    </w:p>
    <w:p>
      <w:r>
        <w:t>**系统集成商（SI）**：华东自动化有限公司等，采购控制器用于项目集成</w:t>
      </w:r>
    </w:p>
    <w:p>
      <w:r>
        <w:t>**制造企业（Manufacturer）**：西南工控集团、宁波海天集团、深圳比亚迪等，用于生产线控制</w:t>
      </w:r>
    </w:p>
    <w:p>
      <w:r>
        <w:t>**政府/智慧城市（Gov/Smart City）**：天津滨海政府等，用于城市基础设施</w:t>
      </w:r>
    </w:p>
    <w:p>
      <w:r>
        <w:t>**医疗设备（Medical）**：武汉联影医疗，对产品质量和可靠性要求极高</w:t>
      </w:r>
    </w:p>
    <w:p>
      <w:pPr>
        <w:pStyle w:val="Heading1"/>
      </w:pPr>
      <w:r>
        <w:t>6. 供应链KPI总览</w:t>
      </w:r>
    </w:p>
    <w:p>
      <w:r>
        <w:t>• 订单满足率（OTIF）：目标≥95%</w:t>
      </w:r>
    </w:p>
    <w:p>
      <w:r>
        <w:t>• 库存周转率：目标≥6次/年</w:t>
      </w:r>
    </w:p>
    <w:p>
      <w:r>
        <w:t>• 采购成本节约率：目标≥3%/年</w:t>
      </w:r>
    </w:p>
    <w:p>
      <w:r>
        <w:t>• 物流准时率：目标≥93%</w:t>
      </w:r>
    </w:p>
    <w:p>
      <w:r>
        <w:t>• 客户投诉率：目标≤0.5%</w:t>
      </w:r>
    </w:p>
    <w:p>
      <w:r>
        <w:t>• 供应商准时率：目标≥92%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