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 Chain Management Policy</w:t>
      </w:r>
    </w:p>
    <w:p>
      <w:pPr>
        <w:pStyle w:val="Heading1"/>
      </w:pPr>
      <w:r>
        <w:t>1. Introduction</w:t>
      </w:r>
    </w:p>
    <w:p>
      <w:r>
        <w:t>This document defines the supply chain management policies and procedures for our organization. Effective supply chain management ensures timely delivery, cost optimization, and risk mitigation.</w:t>
      </w:r>
    </w:p>
    <w:p>
      <w:pPr>
        <w:pStyle w:val="Heading1"/>
      </w:pPr>
      <w:r>
        <w:t>2. Supplier Classification</w:t>
      </w:r>
    </w:p>
    <w:p>
      <w:r>
        <w:t>Suppliers are classified into three tiers based on strategic importance and spend volume:</w:t>
      </w:r>
    </w:p>
    <w:p>
      <w:pPr>
        <w:pStyle w:val="ListBullet"/>
      </w:pPr>
      <w:r>
        <w:t>Tier 1: Strategic suppliers - critical to operations</w:t>
      </w:r>
    </w:p>
    <w:p>
      <w:pPr>
        <w:pStyle w:val="ListBullet"/>
      </w:pPr>
      <w:r>
        <w:t>Tier 2: Preferred suppliers - regular business relationship</w:t>
      </w:r>
    </w:p>
    <w:p>
      <w:pPr>
        <w:pStyle w:val="ListBullet"/>
      </w:pPr>
      <w:r>
        <w:t>Tier 3: Transactional suppliers - spot purchases</w:t>
      </w:r>
    </w:p>
    <w:p>
      <w:pPr>
        <w:pStyle w:val="Heading1"/>
      </w:pPr>
      <w:r>
        <w:t>3. Procurement Process</w:t>
      </w:r>
    </w:p>
    <w:p>
      <w:r>
        <w:t>All procurement activities must follow the standard 5-step process: Requisition, Sourcing, Negotiation, Purchase Order, and Receipt &amp;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