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End-use Disaggregation - Analysis Report</w:t>
      </w:r>
    </w:p>
    <w:p>
      <w:r>
        <w:t xml:space="preserve">The end-use disaggregation function inputs energy meter, Wi-Fi device count, and AHU- and zone-level HVAC controls trendlog data, and calculates annual energy use intensities of major end-uses. The major end-uses for electricity are </w:t>
      </w:r>
      <w:r>
        <w:rPr>
          <w:b/>
        </w:rPr>
        <w:t>lighting and plug-loads, distribution (i.e., pumps and fans), and chillers</w:t>
      </w:r>
      <w:r>
        <w:t xml:space="preserve">. The major end-uses for heating energy use are </w:t>
      </w:r>
      <w:r>
        <w:rPr>
          <w:b/>
        </w:rPr>
        <w:t>perimeter heating, the AHUs’ heating coils, and other appliances (i.e., domestic hot water)</w:t>
      </w:r>
      <w:r>
        <w:t xml:space="preserve">. The major end-use for cooling energy are the </w:t>
      </w:r>
      <w:r>
        <w:rPr>
          <w:b/>
        </w:rPr>
        <w:t>AHUs’ cooling coils.</w:t>
      </w:r>
      <w:r>
        <w:t xml:space="preserve"> This function is intended to help the user assess the distribution of energy consumption within a building and can be used to identify abnormal activity or lack thereof of end-uses in a yearly context.</w:t>
      </w:r>
    </w:p>
    <w:p>
      <w:pPr>
        <w:pStyle w:val="Heading1"/>
      </w:pPr>
      <w:r>
        <w:t>Visualizations</w:t>
      </w:r>
    </w:p>
    <w:p>
      <w:r>
        <w:t>The generated visualization are energy use intensity profiles which depict the weekly distribution of the major end-uses for electricity, cooling, and heating separately.</w:t>
      </w:r>
    </w:p>
    <w:p>
      <w:r>
        <w:drawing>
          <wp:inline xmlns:a="http://schemas.openxmlformats.org/drawingml/2006/main" xmlns:pic="http://schemas.openxmlformats.org/drawingml/2006/picture">
            <wp:extent cx="5257800" cy="1752600"/>
            <wp:docPr id="1" name="Picture 1"/>
            <wp:cNvGraphicFramePr>
              <a:graphicFrameLocks noChangeAspect="1"/>
            </wp:cNvGraphicFramePr>
            <a:graphic>
              <a:graphicData uri="http://schemas.openxmlformats.org/drawingml/2006/picture">
                <pic:pic>
                  <pic:nvPicPr>
                    <pic:cNvPr id="0" name="endUseDisaggregation.png"/>
                    <pic:cNvPicPr/>
                  </pic:nvPicPr>
                  <pic:blipFill>
                    <a:blip r:embed="rId9"/>
                    <a:stretch>
                      <a:fillRect/>
                    </a:stretch>
                  </pic:blipFill>
                  <pic:spPr>
                    <a:xfrm>
                      <a:off x="0" y="0"/>
                      <a:ext cx="5257800" cy="1752600"/>
                    </a:xfrm>
                    <a:prstGeom prst="rect"/>
                  </pic:spPr>
                </pic:pic>
              </a:graphicData>
            </a:graphic>
          </wp:inline>
        </w:drawing>
      </w:r>
    </w:p>
    <w:p>
      <w:pPr>
        <w:pStyle w:val="Heading1"/>
      </w:pPr>
      <w:r>
        <w:t>Key performance Indicators</w:t>
      </w:r>
    </w:p>
    <w:p>
      <w:r>
        <w:t xml:space="preserve">This section presents the generated KPIs - </w:t>
      </w:r>
      <w:r>
        <w:rPr>
          <w:b/>
        </w:rPr>
        <w:t>energy use intensities for major end-uses in heating energy, cooling energy, and electricity use</w:t>
      </w:r>
      <w:r>
        <w:t>. The calculated energy use intensities for the AHU heating and cooling coils are disaggregated by each AHU. For example, if three (3) AHUs were analyzed, the energy use intensites for the AHU heating coils is provided as [NUM NUM NUM], whereby 'NUM' represents the calculated energy use intensities for each consecutive AHU.</w:t>
      </w:r>
    </w:p>
    <w:p>
      <w:r>
        <w:br w:type="page"/>
      </w:r>
    </w:p>
    <w:p>
      <w:pPr>
        <w:pStyle w:val="Heading2"/>
      </w:pPr>
      <w:r>
        <w:t>Heating energy</w:t>
      </w:r>
    </w:p>
    <w:tbl>
      <w:tblPr>
        <w:tblW w:type="auto" w:w="0"/>
        <w:tblLook w:firstColumn="1" w:firstRow="1" w:lastColumn="0" w:lastRow="0" w:noHBand="0" w:noVBand="1" w:val="04A0"/>
      </w:tblPr>
      <w:tblGrid>
        <w:gridCol w:w="4320"/>
        <w:gridCol w:w="4320"/>
      </w:tblGrid>
      <w:tr>
        <w:tc>
          <w:tcPr>
            <w:tcW w:type="dxa" w:w="4320"/>
          </w:tcPr>
          <w:p>
            <w:r>
              <w:t>End-use</w:t>
            </w:r>
          </w:p>
        </w:tc>
        <w:tc>
          <w:tcPr>
            <w:tcW w:type="dxa" w:w="4320"/>
          </w:tcPr>
          <w:p>
            <w:r>
              <w:t>Total annual energy use intensity (kWh/m2)</w:t>
            </w:r>
          </w:p>
        </w:tc>
      </w:tr>
      <w:tr>
        <w:tc>
          <w:tcPr>
            <w:tcW w:type="dxa" w:w="4320"/>
          </w:tcPr>
          <w:p>
            <w:r>
              <w:t>Perimeter heating</w:t>
            </w:r>
          </w:p>
        </w:tc>
        <w:tc>
          <w:tcPr>
            <w:tcW w:type="dxa" w:w="4320"/>
          </w:tcPr>
          <w:p>
            <w:r>
              <w:t>31.4767808483571</w:t>
            </w:r>
          </w:p>
        </w:tc>
      </w:tr>
      <w:tr>
        <w:tc>
          <w:tcPr>
            <w:tcW w:type="dxa" w:w="4320"/>
          </w:tcPr>
          <w:p>
            <w:r>
              <w:t>Heating coils (per AHU)</w:t>
            </w:r>
          </w:p>
        </w:tc>
        <w:tc>
          <w:tcPr>
            <w:tcW w:type="dxa" w:w="4320"/>
          </w:tcPr>
          <w:p>
            <w:r>
              <w:t>[2.00188997 0.23426344]</w:t>
            </w:r>
          </w:p>
        </w:tc>
      </w:tr>
      <w:tr>
        <w:tc>
          <w:tcPr>
            <w:tcW w:type="dxa" w:w="4320"/>
          </w:tcPr>
          <w:p>
            <w:r>
              <w:t>Other</w:t>
            </w:r>
          </w:p>
        </w:tc>
        <w:tc>
          <w:tcPr>
            <w:tcW w:type="dxa" w:w="4320"/>
          </w:tcPr>
          <w:p>
            <w:r>
              <w:t>8.225368077562742</w:t>
            </w:r>
          </w:p>
        </w:tc>
      </w:tr>
    </w:tbl>
    <w:p>
      <w:pPr>
        <w:pStyle w:val="Heading2"/>
      </w:pPr>
      <w:r>
        <w:t>Cooling energy</w:t>
      </w:r>
    </w:p>
    <w:tbl>
      <w:tblPr>
        <w:tblW w:type="auto" w:w="0"/>
        <w:tblLook w:firstColumn="1" w:firstRow="1" w:lastColumn="0" w:lastRow="0" w:noHBand="0" w:noVBand="1" w:val="04A0"/>
      </w:tblPr>
      <w:tblGrid>
        <w:gridCol w:w="4320"/>
        <w:gridCol w:w="4320"/>
      </w:tblGrid>
      <w:tr>
        <w:tc>
          <w:tcPr>
            <w:tcW w:type="dxa" w:w="4320"/>
          </w:tcPr>
          <w:p>
            <w:r>
              <w:t>End-use</w:t>
            </w:r>
          </w:p>
        </w:tc>
        <w:tc>
          <w:tcPr>
            <w:tcW w:type="dxa" w:w="4320"/>
          </w:tcPr>
          <w:p>
            <w:r>
              <w:t>Total annual energy use intensity (kWh/m2)</w:t>
            </w:r>
          </w:p>
        </w:tc>
      </w:tr>
      <w:tr>
        <w:tc>
          <w:tcPr>
            <w:tcW w:type="dxa" w:w="4320"/>
          </w:tcPr>
          <w:p>
            <w:r>
              <w:t>Cooling coils (per AHU)</w:t>
            </w:r>
          </w:p>
        </w:tc>
        <w:tc>
          <w:tcPr>
            <w:tcW w:type="dxa" w:w="4320"/>
          </w:tcPr>
          <w:p>
            <w:r>
              <w:t>[17.16226133 16.81662337]</w:t>
            </w:r>
          </w:p>
        </w:tc>
      </w:tr>
    </w:tbl>
    <w:p>
      <w:pPr>
        <w:pStyle w:val="Heading2"/>
      </w:pPr>
      <w:r>
        <w:t>Electricity</w:t>
      </w:r>
    </w:p>
    <w:tbl>
      <w:tblPr>
        <w:tblW w:type="auto" w:w="0"/>
        <w:tblLook w:firstColumn="1" w:firstRow="1" w:lastColumn="0" w:lastRow="0" w:noHBand="0" w:noVBand="1" w:val="04A0"/>
      </w:tblPr>
      <w:tblGrid>
        <w:gridCol w:w="4320"/>
        <w:gridCol w:w="4320"/>
      </w:tblGrid>
      <w:tr>
        <w:tc>
          <w:tcPr>
            <w:tcW w:type="dxa" w:w="4320"/>
          </w:tcPr>
          <w:p>
            <w:r>
              <w:t>End-use</w:t>
            </w:r>
          </w:p>
        </w:tc>
        <w:tc>
          <w:tcPr>
            <w:tcW w:type="dxa" w:w="4320"/>
          </w:tcPr>
          <w:p>
            <w:r>
              <w:t>Total annual energy use intensity (kWh/m2)</w:t>
            </w:r>
          </w:p>
        </w:tc>
      </w:tr>
      <w:tr>
        <w:tc>
          <w:tcPr>
            <w:tcW w:type="dxa" w:w="4320"/>
          </w:tcPr>
          <w:p>
            <w:r>
              <w:t>Fans &amp; pumps</w:t>
            </w:r>
          </w:p>
        </w:tc>
        <w:tc>
          <w:tcPr>
            <w:tcW w:type="dxa" w:w="4320"/>
          </w:tcPr>
          <w:p>
            <w:r>
              <w:t>19.7</w:t>
            </w:r>
          </w:p>
        </w:tc>
      </w:tr>
      <w:tr>
        <w:tc>
          <w:tcPr>
            <w:tcW w:type="dxa" w:w="4320"/>
          </w:tcPr>
          <w:p>
            <w:r>
              <w:t>Lighting &amp; plug loads</w:t>
            </w:r>
          </w:p>
        </w:tc>
        <w:tc>
          <w:tcPr>
            <w:tcW w:type="dxa" w:w="4320"/>
          </w:tcPr>
          <w:p>
            <w:r>
              <w:t>94.9</w:t>
            </w:r>
          </w:p>
        </w:tc>
      </w:tr>
      <w:tr>
        <w:tc>
          <w:tcPr>
            <w:tcW w:type="dxa" w:w="4320"/>
          </w:tcPr>
          <w:p>
            <w:r>
              <w:t>Chillers</w:t>
            </w:r>
          </w:p>
        </w:tc>
        <w:tc>
          <w:tcPr>
            <w:tcW w:type="dxa" w:w="4320"/>
          </w:tcPr>
          <w:p>
            <w:r>
              <w:t>92.2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