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End-use Disaggregation - Analysis Report</w:t>
      </w:r>
    </w:p>
    <w:p>
      <w:r>
        <w:t xml:space="preserve">The end-use disaggregation function calculates </w:t>
      </w:r>
      <w:r>
        <w:rPr>
          <w:b/>
        </w:rPr>
        <w:t xml:space="preserve">annual energy use intensities of major end-uses. </w:t>
      </w:r>
      <w:r>
        <w:t>The major end-uses for electricity are lighting and plug-loads, distribution (i.e., pumps and fans), and chillers. The major end-uses for heating energy use are perimeter heating, the AHUs’ heating coils, and other appliances (i.e., domestic hot water). The major end-use for cooling energy are the AHUs’ cooling coils. This function can help the user assess the distribution of energy consumption within a building and can be used to identify abnormal energy patterns or use of end-uses.</w:t>
      </w:r>
    </w:p>
    <w:p>
      <w:pPr>
        <w:pStyle w:val="Heading1"/>
      </w:pPr>
      <w:r>
        <w:t>Visualizations</w:t>
      </w:r>
    </w:p>
    <w:p>
      <w:r>
        <w:t>The visuals plot energy use intensity profiles which depict the weekly distribution of the major end-uses for electricity, cooling, and heating separately.</w:t>
      </w:r>
    </w:p>
    <w:p>
      <w:r>
        <w:drawing>
          <wp:inline xmlns:a="http://schemas.openxmlformats.org/drawingml/2006/main" xmlns:pic="http://schemas.openxmlformats.org/drawingml/2006/picture">
            <wp:extent cx="5257800" cy="1502229"/>
            <wp:docPr id="1" name="Picture 1"/>
            <wp:cNvGraphicFramePr>
              <a:graphicFrameLocks noChangeAspect="1"/>
            </wp:cNvGraphicFramePr>
            <a:graphic>
              <a:graphicData uri="http://schemas.openxmlformats.org/drawingml/2006/picture">
                <pic:pic>
                  <pic:nvPicPr>
                    <pic:cNvPr id="0" name="endUseDisaggregation.png"/>
                    <pic:cNvPicPr/>
                  </pic:nvPicPr>
                  <pic:blipFill>
                    <a:blip r:embed="rId9"/>
                    <a:stretch>
                      <a:fillRect/>
                    </a:stretch>
                  </pic:blipFill>
                  <pic:spPr>
                    <a:xfrm>
                      <a:off x="0" y="0"/>
                      <a:ext cx="5257800" cy="1502229"/>
                    </a:xfrm>
                    <a:prstGeom prst="rect"/>
                  </pic:spPr>
                </pic:pic>
              </a:graphicData>
            </a:graphic>
          </wp:inline>
        </w:drawing>
      </w:r>
    </w:p>
    <w:p>
      <w:pPr>
        <w:pStyle w:val="Heading1"/>
      </w:pPr>
      <w:r>
        <w:t>Key performance Indicators</w:t>
      </w:r>
    </w:p>
    <w:p>
      <w:r>
        <w:t xml:space="preserve">This section presents the generated KPIs - </w:t>
      </w:r>
      <w:r>
        <w:rPr>
          <w:b/>
        </w:rPr>
        <w:t>energy use intensities for major end-uses in heating energy, cooling energy, and electricity use</w:t>
      </w:r>
      <w:r>
        <w:t>. The calculated energy use intensities for the AHU heating and cooling coils are disaggregated by each AHU. For example, if three (3) AHUs were analyzed, the energy use intensites for the AHU heating coils is provided as [NUM NUM NUM], whereby 'NUM' represents the calculated energy use intensities for each consecutive AHU.</w:t>
      </w:r>
    </w:p>
    <w:p>
      <w:r>
        <w:br w:type="page"/>
      </w:r>
    </w:p>
    <w:p>
      <w:pPr>
        <w:pStyle w:val="Heading2"/>
      </w:pPr>
      <w:r>
        <w:t>Heating energy</w:t>
      </w:r>
    </w:p>
    <w:tbl>
      <w:tblPr>
        <w:tblW w:type="auto" w:w="0"/>
        <w:tblLook w:firstColumn="1" w:firstRow="1" w:lastColumn="0" w:lastRow="0" w:noHBand="0" w:noVBand="1" w:val="04A0"/>
      </w:tblPr>
      <w:tblGrid>
        <w:gridCol w:w="4320"/>
        <w:gridCol w:w="4320"/>
      </w:tblGrid>
      <w:tr>
        <w:tc>
          <w:tcPr>
            <w:tcW w:type="dxa" w:w="4320"/>
          </w:tcPr>
          <w:p>
            <w:r>
              <w:t>End-use</w:t>
            </w:r>
          </w:p>
        </w:tc>
        <w:tc>
          <w:tcPr>
            <w:tcW w:type="dxa" w:w="4320"/>
          </w:tcPr>
          <w:p>
            <w:r>
              <w:t>Total annual energy use intensity (kWh/m2)</w:t>
            </w:r>
          </w:p>
        </w:tc>
      </w:tr>
      <w:tr>
        <w:tc>
          <w:tcPr>
            <w:tcW w:type="dxa" w:w="4320"/>
          </w:tcPr>
          <w:p>
            <w:r>
              <w:t>Perimeter heating</w:t>
            </w:r>
          </w:p>
        </w:tc>
        <w:tc>
          <w:tcPr>
            <w:tcW w:type="dxa" w:w="4320"/>
          </w:tcPr>
          <w:p>
            <w:r>
              <w:t>31.71224852185017</w:t>
            </w:r>
          </w:p>
        </w:tc>
      </w:tr>
      <w:tr>
        <w:tc>
          <w:tcPr>
            <w:tcW w:type="dxa" w:w="4320"/>
          </w:tcPr>
          <w:p>
            <w:r>
              <w:t>Heating coils (per AHU)</w:t>
            </w:r>
          </w:p>
        </w:tc>
        <w:tc>
          <w:tcPr>
            <w:tcW w:type="dxa" w:w="4320"/>
          </w:tcPr>
          <w:p>
            <w:r>
              <w:t>[1.98260151 0.19587853]</w:t>
            </w:r>
          </w:p>
        </w:tc>
      </w:tr>
      <w:tr>
        <w:tc>
          <w:tcPr>
            <w:tcW w:type="dxa" w:w="4320"/>
          </w:tcPr>
          <w:p>
            <w:r>
              <w:t>Other</w:t>
            </w:r>
          </w:p>
        </w:tc>
        <w:tc>
          <w:tcPr>
            <w:tcW w:type="dxa" w:w="4320"/>
          </w:tcPr>
          <w:p>
            <w:r>
              <w:t>7.990473644683281</w:t>
            </w:r>
          </w:p>
        </w:tc>
      </w:tr>
    </w:tbl>
    <w:p>
      <w:pPr>
        <w:pStyle w:val="Heading2"/>
      </w:pPr>
      <w:r>
        <w:t>Cooling energy</w:t>
      </w:r>
    </w:p>
    <w:tbl>
      <w:tblPr>
        <w:tblW w:type="auto" w:w="0"/>
        <w:tblLook w:firstColumn="1" w:firstRow="1" w:lastColumn="0" w:lastRow="0" w:noHBand="0" w:noVBand="1" w:val="04A0"/>
      </w:tblPr>
      <w:tblGrid>
        <w:gridCol w:w="4320"/>
        <w:gridCol w:w="4320"/>
      </w:tblGrid>
      <w:tr>
        <w:tc>
          <w:tcPr>
            <w:tcW w:type="dxa" w:w="4320"/>
          </w:tcPr>
          <w:p>
            <w:r>
              <w:t>End-use</w:t>
            </w:r>
          </w:p>
        </w:tc>
        <w:tc>
          <w:tcPr>
            <w:tcW w:type="dxa" w:w="4320"/>
          </w:tcPr>
          <w:p>
            <w:r>
              <w:t>Total annual energy use intensity (kWh/m2)</w:t>
            </w:r>
          </w:p>
        </w:tc>
      </w:tr>
      <w:tr>
        <w:tc>
          <w:tcPr>
            <w:tcW w:type="dxa" w:w="4320"/>
          </w:tcPr>
          <w:p>
            <w:r>
              <w:t>Cooling coils (per AHU)</w:t>
            </w:r>
          </w:p>
        </w:tc>
        <w:tc>
          <w:tcPr>
            <w:tcW w:type="dxa" w:w="4320"/>
          </w:tcPr>
          <w:p>
            <w:r>
              <w:t>[17.16685669 16.78984573]</w:t>
            </w:r>
          </w:p>
        </w:tc>
      </w:tr>
    </w:tbl>
    <w:p>
      <w:pPr>
        <w:pStyle w:val="Heading2"/>
      </w:pPr>
      <w:r>
        <w:t>Electricity</w:t>
      </w:r>
    </w:p>
    <w:tbl>
      <w:tblPr>
        <w:tblW w:type="auto" w:w="0"/>
        <w:tblLook w:firstColumn="1" w:firstRow="1" w:lastColumn="0" w:lastRow="0" w:noHBand="0" w:noVBand="1" w:val="04A0"/>
      </w:tblPr>
      <w:tblGrid>
        <w:gridCol w:w="4320"/>
        <w:gridCol w:w="4320"/>
      </w:tblGrid>
      <w:tr>
        <w:tc>
          <w:tcPr>
            <w:tcW w:type="dxa" w:w="4320"/>
          </w:tcPr>
          <w:p>
            <w:r>
              <w:t>End-use</w:t>
            </w:r>
          </w:p>
        </w:tc>
        <w:tc>
          <w:tcPr>
            <w:tcW w:type="dxa" w:w="4320"/>
          </w:tcPr>
          <w:p>
            <w:r>
              <w:t>Total annual energy use intensity (kWh/m2)</w:t>
            </w:r>
          </w:p>
        </w:tc>
      </w:tr>
      <w:tr>
        <w:tc>
          <w:tcPr>
            <w:tcW w:type="dxa" w:w="4320"/>
          </w:tcPr>
          <w:p>
            <w:r>
              <w:t>Fans &amp; pumps</w:t>
            </w:r>
          </w:p>
        </w:tc>
        <w:tc>
          <w:tcPr>
            <w:tcW w:type="dxa" w:w="4320"/>
          </w:tcPr>
          <w:p>
            <w:r>
              <w:t>19.7</w:t>
            </w:r>
          </w:p>
        </w:tc>
      </w:tr>
      <w:tr>
        <w:tc>
          <w:tcPr>
            <w:tcW w:type="dxa" w:w="4320"/>
          </w:tcPr>
          <w:p>
            <w:r>
              <w:t>Lighting &amp; plug loads</w:t>
            </w:r>
          </w:p>
        </w:tc>
        <w:tc>
          <w:tcPr>
            <w:tcW w:type="dxa" w:w="4320"/>
          </w:tcPr>
          <w:p>
            <w:r>
              <w:t>96.1</w:t>
            </w:r>
          </w:p>
        </w:tc>
      </w:tr>
      <w:tr>
        <w:tc>
          <w:tcPr>
            <w:tcW w:type="dxa" w:w="4320"/>
          </w:tcPr>
          <w:p>
            <w:r>
              <w:t>Chillers</w:t>
            </w:r>
          </w:p>
        </w:tc>
        <w:tc>
          <w:tcPr>
            <w:tcW w:type="dxa" w:w="4320"/>
          </w:tcPr>
          <w:p>
            <w:r>
              <w:t>91.5</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