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Projet MR : incendie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est le public cible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didactique ou simulation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didactique, quel niveau d’assistance 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flottants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assistant virtuel (avec voix) 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simulation, peu d’interface, quel niveau de monitoring pour le débriefing/évaluation/évaluation des performances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Aspect ludique (chrono, score)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faut-il des interactions, si oui à quel niveau (alarme, extincteur, personne en détresse)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Évolution de l’incendie avec le temps, oui/non 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expansion des flammes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évolution de la fumée (intoxication selon hauteur)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Évacuation systématique ou possibilité d'éteindre l’incendie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départ de feu, aléatoire ou objets fixes 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d’incendie plausible (micro-onde, etc)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départ de feu, dans la pièce où se trouve l’utilisateur ou n’importe où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variété des scénarios 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Alarme déjà enclenchée 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feu non visible immédiatement 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intégration des éléments de signalisation et du matériel 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 graphique global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niveau du réalisme des flammes (couleur/taille selon matériaux)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alarme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toux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respiration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bruit d’incendie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Apparition des prochaines flammes sur des emplacements fixes selon le scénario ou aléatoires 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Comportements incorrects à prendre en compte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ascenseur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mauvaise direction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fenêtres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Flèches / indicateurs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fixes ou dynamiques selon la position de l’utilisateur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animées 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 / murs /les deux 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Flottantes 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Utilisation manettes ou uniquement les mains ou les deux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Prévoir pour les personnes en mobilité réduite 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Avec quelles langues doit être adaptée 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budget ?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