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dasdas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dsad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dsadas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dsadas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das</w:t>
            </w:r>
          </w:p>
        </w:tc>
        <w:tc>
          <w:tcPr>
            <w:tcW w:w="3419" w:type="dxa"/>
            <w:vAlign w:val="center"/>
          </w:tcPr>
          <w:p>
            <w:r>
              <w:t>asd</w:t>
            </w:r>
          </w:p>
        </w:tc>
        <w:tc>
          <w:tcPr>
            <w:tcW w:w="2433" w:type="dxa"/>
            <w:vAlign w:val="center"/>
          </w:tcPr>
          <w:p>
            <w:r>
              <w:t>1399.00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czxc</w:t>
            </w:r>
          </w:p>
        </w:tc>
        <w:tc>
          <w:tcPr>
            <w:tcW w:w="3419" w:type="dxa"/>
            <w:vAlign w:val="center"/>
          </w:tcPr>
          <w:p>
            <w:r>
              <w:t>asdas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064E5B1F" w14:textId="34F57D6A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70A6498" w14:textId="202134D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="004B7352" w:rsidP="004B7352" w:rsidRDefault="004B7352" w14:paraId="34C1D4C4" w14:textId="74C762A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2798.00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