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FLUJO DE FONDOS</w:t>
      </w:r>
    </w:p>
    <w:p>
      <w:pPr>
        <w:spacing w:after="100"/>
        <w:jc w:val="center"/>
      </w:pPr>
      <w:r>
        <w:rPr>
          <w:rFonts w:ascii="Arial" w:cs="Arial" w:eastAsia="Arial" w:hAnsi="Arial"/>
          <w:color w:val="2E5984"/>
          <w:sz w:val="32"/>
          <w:szCs w:val="32"/>
        </w:rPr>
        <w:t xml:space="preserve">Sistema de Gestion de Turnos Medicos</w:t>
      </w:r>
    </w:p>
    <w:p>
      <w:pPr>
        <w:spacing w:after="600"/>
        <w:jc w:val="center"/>
      </w:pPr>
      <w:r>
        <w:rPr>
          <w:rFonts w:ascii="Arial" w:cs="Arial" w:eastAsia="Arial" w:hAnsi="Arial"/>
          <w:i/>
          <w:iCs/>
          <w:color w:val="2E5984"/>
          <w:sz w:val="28"/>
          <w:szCs w:val="28"/>
        </w:rPr>
        <w:t xml:space="preserve">Clinica Santa Rosa</w:t>
      </w:r>
    </w:p>
    <w:p>
      <w:pPr>
        <w:pBdr>
          <w:top w:val="single" w:color="1B3A5C" w:sz="6" w:space="1"/>
        </w:pBdr>
        <w:spacing w:after="100"/>
        <w:jc w:val="center"/>
      </w:pPr>
    </w:p>
    <w:p>
      <w:pPr>
        <w:spacing w:after="100"/>
        <w:jc w:val="center"/>
      </w:pPr>
      <w:r>
        <w:rPr>
          <w:rFonts w:ascii="Arial" w:cs="Arial" w:eastAsia="Arial" w:hAnsi="Arial"/>
          <w:color w:val="555555"/>
          <w:sz w:val="24"/>
          <w:szCs w:val="24"/>
        </w:rPr>
        <w:t xml:space="preserve">Ingenieria de Software II</w:t>
      </w:r>
    </w:p>
    <w:p>
      <w:pPr>
        <w:spacing w:after="100"/>
        <w:jc w:val="center"/>
      </w:pPr>
      <w:r>
        <w:rPr>
          <w:rFonts w:ascii="Arial" w:cs="Arial" w:eastAsia="Arial" w:hAnsi="Arial"/>
          <w:color w:val="555555"/>
          <w:sz w:val="24"/>
          <w:szCs w:val="24"/>
        </w:rPr>
        <w:t xml:space="preserve">Universidad de la Cuenca del Plata</w:t>
      </w:r>
    </w:p>
    <w:p>
      <w:pPr>
        <w:spacing w:after="100"/>
        <w:jc w:val="center"/>
      </w:pPr>
      <w:r>
        <w:rPr>
          <w:rFonts w:ascii="Arial" w:cs="Arial" w:eastAsia="Arial" w:hAnsi="Arial"/>
          <w:color w:val="555555"/>
          <w:sz w:val="24"/>
          <w:szCs w:val="24"/>
        </w:rPr>
        <w:t xml:space="preserve">Junio 2026</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1. Resumen Ejecutivo</w:t>
      </w:r>
    </w:p>
    <w:p>
      <w:pPr>
        <w:spacing w:after="120"/>
      </w:pPr>
      <w:r>
        <w:rPr>
          <w:rFonts w:ascii="Arial" w:cs="Arial" w:eastAsia="Arial" w:hAnsi="Arial"/>
          <w:sz w:val="22"/>
          <w:szCs w:val="22"/>
        </w:rPr>
        <w:t xml:space="preserve">Este documento presenta el analisis financiero del Sistema de Gestion de Turnos Medicos desarrollado para la Clinica Santa Rosa. Se detallan los costos de desarrollo, los gastos operativos mensuales, los modelos de monetizacion propuestos y la proyeccion de flujo de fondos a 12 meses.</w:t>
      </w:r>
    </w:p>
    <w:p>
      <w:pPr>
        <w:spacing w:after="60"/>
      </w:pPr>
    </w:p>
    <w:p>
      <w:pPr>
        <w:pStyle w:val="ListParagraph"/>
        <w:numPr>
          <w:ilvl w:val="0"/>
          <w:numId w:val="2"/>
        </w:numPr>
      </w:pPr>
      <w:r>
        <w:rPr>
          <w:rFonts w:ascii="Arial" w:cs="Arial" w:eastAsia="Arial" w:hAnsi="Arial"/>
          <w:sz w:val="22"/>
          <w:szCs w:val="22"/>
        </w:rPr>
        <w:t xml:space="preserve">Inversion inicial estimada: $2.850.000 ARS</w:t>
      </w:r>
    </w:p>
    <w:p>
      <w:pPr>
        <w:pStyle w:val="ListParagraph"/>
        <w:numPr>
          <w:ilvl w:val="0"/>
          <w:numId w:val="2"/>
        </w:numPr>
      </w:pPr>
      <w:r>
        <w:rPr>
          <w:rFonts w:ascii="Arial" w:cs="Arial" w:eastAsia="Arial" w:hAnsi="Arial"/>
          <w:sz w:val="22"/>
          <w:szCs w:val="22"/>
        </w:rPr>
        <w:t xml:space="preserve">Costo operativo mensual: $195.000 ARS</w:t>
      </w:r>
    </w:p>
    <w:p>
      <w:pPr>
        <w:pStyle w:val="ListParagraph"/>
        <w:numPr>
          <w:ilvl w:val="0"/>
          <w:numId w:val="2"/>
        </w:numPr>
      </w:pPr>
      <w:r>
        <w:rPr>
          <w:rFonts w:ascii="Arial" w:cs="Arial" w:eastAsia="Arial" w:hAnsi="Arial"/>
          <w:sz w:val="22"/>
          <w:szCs w:val="22"/>
        </w:rPr>
        <w:t xml:space="preserve">Ingreso mensual proyectado (modelo SaaS, 6 clinicas): $780.000 ARS</w:t>
      </w:r>
    </w:p>
    <w:p>
      <w:pPr>
        <w:pStyle w:val="ListParagraph"/>
        <w:numPr>
          <w:ilvl w:val="0"/>
          <w:numId w:val="2"/>
        </w:numPr>
      </w:pPr>
      <w:r>
        <w:rPr>
          <w:rFonts w:ascii="Arial" w:cs="Arial" w:eastAsia="Arial" w:hAnsi="Arial"/>
          <w:sz w:val="22"/>
          <w:szCs w:val="22"/>
        </w:rPr>
        <w:t xml:space="preserve">Punto de equilibrio acumulado: Mes 10</w:t>
      </w:r>
    </w:p>
    <w:p>
      <w:pPr>
        <w:pStyle w:val="ListParagraph"/>
        <w:numPr>
          <w:ilvl w:val="0"/>
          <w:numId w:val="2"/>
        </w:numPr>
      </w:pPr>
      <w:r>
        <w:rPr>
          <w:rFonts w:ascii="Arial" w:cs="Arial" w:eastAsia="Arial" w:hAnsi="Arial"/>
          <w:sz w:val="22"/>
          <w:szCs w:val="22"/>
        </w:rPr>
        <w:t xml:space="preserve">Ganancia neta acumulada al mes 12: $1.570.000 ARS</w:t>
      </w:r>
    </w:p>
    <w:p>
      <w:r>
        <w:br w:type="page"/>
      </w:r>
    </w:p>
    <w:p>
      <w:pPr>
        <w:pStyle w:val="Heading1"/>
      </w:pPr>
      <w:r>
        <w:rPr>
          <w:rFonts w:ascii="Arial" w:cs="Arial" w:eastAsia="Arial" w:hAnsi="Arial"/>
        </w:rPr>
        <w:t xml:space="preserve">2. Costos del Proyecto (Inversion Inicial)</w:t>
      </w:r>
    </w:p>
    <w:p>
      <w:pPr>
        <w:spacing w:after="120"/>
      </w:pPr>
      <w:r>
        <w:rPr>
          <w:rFonts w:ascii="Arial" w:cs="Arial" w:eastAsia="Arial" w:hAnsi="Arial"/>
          <w:sz w:val="22"/>
          <w:szCs w:val="22"/>
        </w:rPr>
        <w:t xml:space="preserve">La siguiente tabla detalla la inversion necesaria para el desarrollo e implementacion completa del sistema: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13"/>
        <w:gridCol w:w="3513"/>
      </w:tblGrid>
      <w:tr>
        <w:tc>
          <w:tcPr>
            <w:tcW w:type="dxa" w:w="5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Concepto</w:t>
            </w:r>
          </w:p>
        </w:tc>
        <w:tc>
          <w:tcPr>
            <w:tcW w:type="dxa" w:w="3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Costo (ARS)</w:t>
            </w:r>
          </w:p>
        </w:tc>
      </w:tr>
      <w:tr>
        <w:tc>
          <w:tcPr>
            <w:tcW w:type="dxa" w:w="5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Desarrollo backend (4 meses, 1 desarrollador)</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$1.600.000</w:t>
            </w:r>
          </w:p>
        </w:tc>
      </w:tr>
      <w:tr>
        <w:tc>
          <w:tcPr>
            <w:tcW w:type="dxa" w:w="5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Desarrollo frontend (templates + CSS)</w:t>
            </w:r>
          </w:p>
        </w:tc>
        <w:tc>
          <w:tcPr>
            <w:tcW w:type="dxa" w:w="3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$400.000</w:t>
            </w:r>
          </w:p>
        </w:tc>
      </w:tr>
      <w:tr>
        <w:tc>
          <w:tcPr>
            <w:tcW w:type="dxa" w:w="5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Diseno UX/UI</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$250.000</w:t>
            </w:r>
          </w:p>
        </w:tc>
      </w:tr>
      <w:tr>
        <w:tc>
          <w:tcPr>
            <w:tcW w:type="dxa" w:w="5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Servidor PythonAnywhere (1er ano)</w:t>
            </w:r>
          </w:p>
        </w:tc>
        <w:tc>
          <w:tcPr>
            <w:tcW w:type="dxa" w:w="3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$100.000</w:t>
            </w:r>
          </w:p>
        </w:tc>
      </w:tr>
      <w:tr>
        <w:tc>
          <w:tcPr>
            <w:tcW w:type="dxa" w:w="5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Dominio .com.ar</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$50.000</w:t>
            </w:r>
          </w:p>
        </w:tc>
      </w:tr>
      <w:tr>
        <w:tc>
          <w:tcPr>
            <w:tcW w:type="dxa" w:w="5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Testing y QA</w:t>
            </w:r>
          </w:p>
        </w:tc>
        <w:tc>
          <w:tcPr>
            <w:tcW w:type="dxa" w:w="3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$200.000</w:t>
            </w:r>
          </w:p>
        </w:tc>
      </w:tr>
      <w:tr>
        <w:tc>
          <w:tcPr>
            <w:tcW w:type="dxa" w:w="5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Documentacion tecnica</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$100.000</w:t>
            </w:r>
          </w:p>
        </w:tc>
      </w:tr>
      <w:tr>
        <w:tc>
          <w:tcPr>
            <w:tcW w:type="dxa" w:w="5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Capacitacion al personal</w:t>
            </w:r>
          </w:p>
        </w:tc>
        <w:tc>
          <w:tcPr>
            <w:tcW w:type="dxa" w:w="3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$150.000</w:t>
            </w:r>
          </w:p>
        </w:tc>
      </w:tr>
      <w:tr>
        <w:tc>
          <w:tcPr>
            <w:tcW w:type="dxa" w:w="5513"/>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pPr>
              <w:jc w:val="left"/>
            </w:pPr>
            <w:r>
              <w:rPr>
                <w:rFonts w:ascii="Arial" w:cs="Arial" w:eastAsia="Arial" w:hAnsi="Arial"/>
                <w:b/>
                <w:bCs/>
                <w:sz w:val="20"/>
                <w:szCs w:val="20"/>
              </w:rPr>
              <w:t xml:space="preserve">TOTAL INVERSION INICIAL</w:t>
            </w:r>
          </w:p>
        </w:tc>
        <w:tc>
          <w:tcPr>
            <w:tcW w:type="dxa" w:w="3513"/>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pPr>
              <w:jc w:val="right"/>
            </w:pPr>
            <w:r>
              <w:rPr>
                <w:rFonts w:ascii="Arial" w:cs="Arial" w:eastAsia="Arial" w:hAnsi="Arial"/>
                <w:b/>
                <w:bCs/>
                <w:sz w:val="20"/>
                <w:szCs w:val="20"/>
              </w:rPr>
              <w:t xml:space="preserve">$2.850.000</w:t>
            </w:r>
          </w:p>
        </w:tc>
      </w:tr>
    </w:tbl>
    <w:p>
      <w:pPr>
        <w:spacing w:after="200"/>
      </w:pPr>
    </w:p>
    <w:p>
      <w:pPr>
        <w:pStyle w:val="Heading1"/>
      </w:pPr>
      <w:r>
        <w:rPr>
          <w:rFonts w:ascii="Arial" w:cs="Arial" w:eastAsia="Arial" w:hAnsi="Arial"/>
        </w:rPr>
        <w:t xml:space="preserve">3. Costos Mensuales de Operacion</w:t>
      </w:r>
    </w:p>
    <w:p>
      <w:pPr>
        <w:spacing w:after="120"/>
      </w:pPr>
      <w:r>
        <w:rPr>
          <w:rFonts w:ascii="Arial" w:cs="Arial" w:eastAsia="Arial" w:hAnsi="Arial"/>
          <w:sz w:val="22"/>
          <w:szCs w:val="22"/>
        </w:rPr>
        <w:t xml:space="preserve">Gastos recurrentes necesarios para mantener el sistema en funcionamiento: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13"/>
        <w:gridCol w:w="3513"/>
      </w:tblGrid>
      <w:tr>
        <w:tc>
          <w:tcPr>
            <w:tcW w:type="dxa" w:w="5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Concepto</w:t>
            </w:r>
          </w:p>
        </w:tc>
        <w:tc>
          <w:tcPr>
            <w:tcW w:type="dxa" w:w="3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Costo Mensual (ARS)</w:t>
            </w:r>
          </w:p>
        </w:tc>
      </w:tr>
      <w:tr>
        <w:tc>
          <w:tcPr>
            <w:tcW w:type="dxa" w:w="5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Hosting (PythonAnywhere o VPS)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$25.000</w:t>
            </w:r>
          </w:p>
        </w:tc>
      </w:tr>
      <w:tr>
        <w:tc>
          <w:tcPr>
            <w:tcW w:type="dxa" w:w="5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Mantenimiento y soporte tecnico</w:t>
            </w:r>
          </w:p>
        </w:tc>
        <w:tc>
          <w:tcPr>
            <w:tcW w:type="dxa" w:w="3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$120.000</w:t>
            </w:r>
          </w:p>
        </w:tc>
      </w:tr>
      <w:tr>
        <w:tc>
          <w:tcPr>
            <w:tcW w:type="dxa" w:w="5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Dominio (prorrateado mensual)</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$5.000</w:t>
            </w:r>
          </w:p>
        </w:tc>
      </w:tr>
      <w:tr>
        <w:tc>
          <w:tcPr>
            <w:tcW w:type="dxa" w:w="5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Backup y seguridad</w:t>
            </w:r>
          </w:p>
        </w:tc>
        <w:tc>
          <w:tcPr>
            <w:tcW w:type="dxa" w:w="3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$15.000</w:t>
            </w:r>
          </w:p>
        </w:tc>
      </w:tr>
      <w:tr>
        <w:tc>
          <w:tcPr>
            <w:tcW w:type="dxa" w:w="5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SMS/Email para notificaciones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$30.000</w:t>
            </w:r>
          </w:p>
        </w:tc>
      </w:tr>
      <w:tr>
        <w:tc>
          <w:tcPr>
            <w:tcW w:type="dxa" w:w="5513"/>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pPr>
              <w:jc w:val="left"/>
            </w:pPr>
            <w:r>
              <w:rPr>
                <w:rFonts w:ascii="Arial" w:cs="Arial" w:eastAsia="Arial" w:hAnsi="Arial"/>
                <w:b/>
                <w:bCs/>
                <w:sz w:val="20"/>
                <w:szCs w:val="20"/>
              </w:rPr>
              <w:t xml:space="preserve">TOTAL MENSUAL</w:t>
            </w:r>
          </w:p>
        </w:tc>
        <w:tc>
          <w:tcPr>
            <w:tcW w:type="dxa" w:w="3513"/>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pPr>
              <w:jc w:val="right"/>
            </w:pPr>
            <w:r>
              <w:rPr>
                <w:rFonts w:ascii="Arial" w:cs="Arial" w:eastAsia="Arial" w:hAnsi="Arial"/>
                <w:b/>
                <w:bCs/>
                <w:sz w:val="20"/>
                <w:szCs w:val="20"/>
              </w:rPr>
              <w:t xml:space="preserve">$195.000</w:t>
            </w:r>
          </w:p>
        </w:tc>
      </w:tr>
    </w:tbl>
    <w:p>
      <w:r>
        <w:br w:type="page"/>
      </w:r>
    </w:p>
    <w:p>
      <w:pPr>
        <w:pStyle w:val="Heading1"/>
      </w:pPr>
      <w:r>
        <w:rPr>
          <w:rFonts w:ascii="Arial" w:cs="Arial" w:eastAsia="Arial" w:hAnsi="Arial"/>
        </w:rPr>
        <w:t xml:space="preserve">4. Modelos de Monetizacion</w:t>
      </w:r>
    </w:p>
    <w:p>
      <w:pPr>
        <w:spacing w:after="120"/>
      </w:pPr>
      <w:r>
        <w:rPr>
          <w:rFonts w:ascii="Arial" w:cs="Arial" w:eastAsia="Arial" w:hAnsi="Arial"/>
          <w:sz w:val="22"/>
          <w:szCs w:val="22"/>
        </w:rPr>
        <w:t xml:space="preserve">Se proponen cuatro modelos de negocio para generar ingresos con el sistema. Cada uno se adapta a diferentes tipos de clientes y estrategias de mercado.</w:t>
      </w:r>
    </w:p>
    <w:p>
      <w:pPr>
        <w:pStyle w:val="Heading2"/>
      </w:pPr>
      <w:r>
        <w:rPr>
          <w:rFonts w:ascii="Arial" w:cs="Arial" w:eastAsia="Arial" w:hAnsi="Arial"/>
        </w:rPr>
        <w:t xml:space="preserve">4.1 Modelo 1: Licencia Mensual (SaaS)</w:t>
      </w:r>
    </w:p>
    <w:p>
      <w:pPr>
        <w:spacing w:after="120"/>
      </w:pPr>
      <w:r>
        <w:rPr>
          <w:rFonts w:ascii="Arial" w:cs="Arial" w:eastAsia="Arial" w:hAnsi="Arial"/>
          <w:sz w:val="22"/>
          <w:szCs w:val="22"/>
        </w:rPr>
        <w:t xml:space="preserve">Cobrar a cada clinica una suscripcion mensual por usar el sistema en la nube.</w:t>
      </w:r>
    </w:p>
    <w:p>
      <w:pPr>
        <w:pStyle w:val="ListParagraph"/>
        <w:numPr>
          <w:ilvl w:val="0"/>
          <w:numId w:val="3"/>
        </w:numPr>
      </w:pPr>
      <w:r>
        <w:rPr>
          <w:rFonts w:ascii="Arial" w:cs="Arial" w:eastAsia="Arial" w:hAnsi="Arial"/>
          <w:sz w:val="22"/>
          <w:szCs w:val="22"/>
        </w:rPr>
        <w:t xml:space="preserve">Precio sugerido: $130.000/mes por clinica</w:t>
      </w:r>
    </w:p>
    <w:p>
      <w:pPr>
        <w:pStyle w:val="ListParagraph"/>
        <w:numPr>
          <w:ilvl w:val="0"/>
          <w:numId w:val="3"/>
        </w:numPr>
      </w:pPr>
      <w:r>
        <w:rPr>
          <w:rFonts w:ascii="Arial" w:cs="Arial" w:eastAsia="Arial" w:hAnsi="Arial"/>
          <w:sz w:val="22"/>
          <w:szCs w:val="22"/>
        </w:rPr>
        <w:t xml:space="preserve">Con 6 clinicas clientas: $780.000/mes de ingreso</w:t>
      </w:r>
    </w:p>
    <w:p>
      <w:pPr>
        <w:pStyle w:val="ListParagraph"/>
        <w:numPr>
          <w:ilvl w:val="0"/>
          <w:numId w:val="3"/>
        </w:numPr>
      </w:pPr>
      <w:r>
        <w:rPr>
          <w:rFonts w:ascii="Arial" w:cs="Arial" w:eastAsia="Arial" w:hAnsi="Arial"/>
          <w:sz w:val="22"/>
          <w:szCs w:val="22"/>
        </w:rPr>
        <w:t xml:space="preserve">Ventaja: ingresos estables, predecibles y recurrentes</w:t>
      </w:r>
    </w:p>
    <w:p>
      <w:pPr>
        <w:pStyle w:val="ListParagraph"/>
        <w:numPr>
          <w:ilvl w:val="0"/>
          <w:numId w:val="3"/>
        </w:numPr>
      </w:pPr>
      <w:r>
        <w:rPr>
          <w:rFonts w:ascii="Arial" w:cs="Arial" w:eastAsia="Arial" w:hAnsi="Arial"/>
          <w:sz w:val="22"/>
          <w:szCs w:val="22"/>
        </w:rPr>
        <w:t xml:space="preserve">Permite escalar sin limite geografico</w:t>
      </w:r>
    </w:p>
    <w:p>
      <w:pPr>
        <w:pStyle w:val="Heading2"/>
      </w:pPr>
      <w:r>
        <w:rPr>
          <w:rFonts w:ascii="Arial" w:cs="Arial" w:eastAsia="Arial" w:hAnsi="Arial"/>
        </w:rPr>
        <w:t xml:space="preserve">4.2 Modelo 2: Comision por Turno</w:t>
      </w:r>
    </w:p>
    <w:p>
      <w:pPr>
        <w:spacing w:after="120"/>
      </w:pPr>
      <w:r>
        <w:rPr>
          <w:rFonts w:ascii="Arial" w:cs="Arial" w:eastAsia="Arial" w:hAnsi="Arial"/>
          <w:sz w:val="22"/>
          <w:szCs w:val="22"/>
        </w:rPr>
        <w:t xml:space="preserve">Cobrar una comision por cada turno reservado a traves del sistema.</w:t>
      </w:r>
    </w:p>
    <w:p>
      <w:pPr>
        <w:pStyle w:val="ListParagraph"/>
        <w:numPr>
          <w:ilvl w:val="0"/>
          <w:numId w:val="4"/>
        </w:numPr>
      </w:pPr>
      <w:r>
        <w:rPr>
          <w:rFonts w:ascii="Arial" w:cs="Arial" w:eastAsia="Arial" w:hAnsi="Arial"/>
          <w:sz w:val="22"/>
          <w:szCs w:val="22"/>
        </w:rPr>
        <w:t xml:space="preserve">Comision sugerida: $500 por turno reservado online</w:t>
      </w:r>
    </w:p>
    <w:p>
      <w:pPr>
        <w:pStyle w:val="ListParagraph"/>
        <w:numPr>
          <w:ilvl w:val="0"/>
          <w:numId w:val="4"/>
        </w:numPr>
      </w:pPr>
      <w:r>
        <w:rPr>
          <w:rFonts w:ascii="Arial" w:cs="Arial" w:eastAsia="Arial" w:hAnsi="Arial"/>
          <w:sz w:val="22"/>
          <w:szCs w:val="22"/>
        </w:rPr>
        <w:t xml:space="preserve">Clinica con 80 turnos/dia: $40.000/dia = $800.000/mes</w:t>
      </w:r>
    </w:p>
    <w:p>
      <w:pPr>
        <w:pStyle w:val="ListParagraph"/>
        <w:numPr>
          <w:ilvl w:val="0"/>
          <w:numId w:val="4"/>
        </w:numPr>
      </w:pPr>
      <w:r>
        <w:rPr>
          <w:rFonts w:ascii="Arial" w:cs="Arial" w:eastAsia="Arial" w:hAnsi="Arial"/>
          <w:sz w:val="22"/>
          <w:szCs w:val="22"/>
        </w:rPr>
        <w:t xml:space="preserve">Ventaja: el ingreso se alinea con el uso real del sistema</w:t>
      </w:r>
    </w:p>
    <w:p>
      <w:pPr>
        <w:pStyle w:val="Heading2"/>
      </w:pPr>
      <w:r>
        <w:rPr>
          <w:rFonts w:ascii="Arial" w:cs="Arial" w:eastAsia="Arial" w:hAnsi="Arial"/>
        </w:rPr>
        <w:t xml:space="preserve">4.3 Modelo 3: Venta + Mantenimiento</w:t>
      </w:r>
    </w:p>
    <w:p>
      <w:pPr>
        <w:spacing w:after="120"/>
      </w:pPr>
      <w:r>
        <w:rPr>
          <w:rFonts w:ascii="Arial" w:cs="Arial" w:eastAsia="Arial" w:hAnsi="Arial"/>
          <w:sz w:val="22"/>
          <w:szCs w:val="22"/>
        </w:rPr>
        <w:t xml:space="preserve">Vender el sistema por unica vez e incluir un contrato de mantenimiento mensual.</w:t>
      </w:r>
    </w:p>
    <w:p>
      <w:pPr>
        <w:pStyle w:val="ListParagraph"/>
        <w:numPr>
          <w:ilvl w:val="0"/>
          <w:numId w:val="3"/>
        </w:numPr>
      </w:pPr>
      <w:r>
        <w:rPr>
          <w:rFonts w:ascii="Arial" w:cs="Arial" w:eastAsia="Arial" w:hAnsi="Arial"/>
          <w:sz w:val="22"/>
          <w:szCs w:val="22"/>
        </w:rPr>
        <w:t xml:space="preserve">Precio de venta: $3.000.000 (unica vez)</w:t>
      </w:r>
    </w:p>
    <w:p>
      <w:pPr>
        <w:pStyle w:val="ListParagraph"/>
        <w:numPr>
          <w:ilvl w:val="0"/>
          <w:numId w:val="3"/>
        </w:numPr>
      </w:pPr>
      <w:r>
        <w:rPr>
          <w:rFonts w:ascii="Arial" w:cs="Arial" w:eastAsia="Arial" w:hAnsi="Arial"/>
          <w:sz w:val="22"/>
          <w:szCs w:val="22"/>
        </w:rPr>
        <w:t xml:space="preserve">Mantenimiento mensual: $150.000/mes</w:t>
      </w:r>
    </w:p>
    <w:p>
      <w:pPr>
        <w:pStyle w:val="ListParagraph"/>
        <w:numPr>
          <w:ilvl w:val="0"/>
          <w:numId w:val="3"/>
        </w:numPr>
      </w:pPr>
      <w:r>
        <w:rPr>
          <w:rFonts w:ascii="Arial" w:cs="Arial" w:eastAsia="Arial" w:hAnsi="Arial"/>
          <w:sz w:val="22"/>
          <w:szCs w:val="22"/>
        </w:rPr>
        <w:t xml:space="preserve">Ideal para clinicas que prefieren ser duenas del software</w:t>
      </w:r>
    </w:p>
    <w:p>
      <w:pPr>
        <w:pStyle w:val="Heading2"/>
      </w:pPr>
      <w:r>
        <w:rPr>
          <w:rFonts w:ascii="Arial" w:cs="Arial" w:eastAsia="Arial" w:hAnsi="Arial"/>
        </w:rPr>
        <w:t xml:space="preserve">4.4 Modelo 4: Freemium</w:t>
      </w:r>
    </w:p>
    <w:p>
      <w:pPr>
        <w:spacing w:after="120"/>
      </w:pPr>
      <w:r>
        <w:rPr>
          <w:rFonts w:ascii="Arial" w:cs="Arial" w:eastAsia="Arial" w:hAnsi="Arial"/>
          <w:sz w:val="22"/>
          <w:szCs w:val="22"/>
        </w:rPr>
        <w:t xml:space="preserve">Ofrecer una version gratuita limitada y una version premium con todas las funcionalidades.</w:t>
      </w:r>
    </w:p>
    <w:p>
      <w:pPr>
        <w:pStyle w:val="ListParagraph"/>
        <w:numPr>
          <w:ilvl w:val="0"/>
          <w:numId w:val="4"/>
        </w:numPr>
      </w:pPr>
      <w:r>
        <w:rPr>
          <w:rFonts w:ascii="Arial" w:cs="Arial" w:eastAsia="Arial" w:hAnsi="Arial"/>
          <w:sz w:val="22"/>
          <w:szCs w:val="22"/>
        </w:rPr>
        <w:t xml:space="preserve">Version gratuita: hasta 1 medico y 50 turnos/mes</w:t>
      </w:r>
    </w:p>
    <w:p>
      <w:pPr>
        <w:pStyle w:val="ListParagraph"/>
        <w:numPr>
          <w:ilvl w:val="0"/>
          <w:numId w:val="4"/>
        </w:numPr>
      </w:pPr>
      <w:r>
        <w:rPr>
          <w:rFonts w:ascii="Arial" w:cs="Arial" w:eastAsia="Arial" w:hAnsi="Arial"/>
          <w:sz w:val="22"/>
          <w:szCs w:val="22"/>
        </w:rPr>
        <w:t xml:space="preserve">Version premium: medicos y turnos ilimitados a $130.000/mes</w:t>
      </w:r>
    </w:p>
    <w:p>
      <w:pPr>
        <w:pStyle w:val="ListParagraph"/>
        <w:numPr>
          <w:ilvl w:val="0"/>
          <w:numId w:val="4"/>
        </w:numPr>
      </w:pPr>
      <w:r>
        <w:rPr>
          <w:rFonts w:ascii="Arial" w:cs="Arial" w:eastAsia="Arial" w:hAnsi="Arial"/>
          <w:sz w:val="22"/>
          <w:szCs w:val="22"/>
        </w:rPr>
        <w:t xml:space="preserve">Permite captar clientes con bajo riesgo y convertirlos a premium</w:t>
      </w:r>
    </w:p>
    <w:p>
      <w:r>
        <w:br w:type="page"/>
      </w:r>
    </w:p>
    <w:p>
      <w:pPr>
        <w:pStyle w:val="Heading1"/>
      </w:pPr>
      <w:r>
        <w:rPr>
          <w:rFonts w:ascii="Arial" w:cs="Arial" w:eastAsia="Arial" w:hAnsi="Arial"/>
        </w:rPr>
        <w:t xml:space="preserve">5. Flujo de Fondos Proyectado (12 meses)</w:t>
      </w:r>
    </w:p>
    <w:p>
      <w:pPr>
        <w:spacing w:after="120"/>
      </w:pPr>
      <w:r>
        <w:rPr>
          <w:rFonts w:ascii="Arial" w:cs="Arial" w:eastAsia="Arial" w:hAnsi="Arial"/>
          <w:sz w:val="22"/>
          <w:szCs w:val="22"/>
        </w:rPr>
        <w:t xml:space="preserve">Proyeccion basada en el Modelo SaaS con ramp-up gradual de clientes (0 a 6 clinicas en los primeros 6 meses):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600"/>
        <w:gridCol w:w="1600"/>
        <w:gridCol w:w="1613"/>
        <w:gridCol w:w="2013"/>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Clinicas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Ingresos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Egresos</w:t>
            </w:r>
          </w:p>
        </w:tc>
        <w:tc>
          <w:tcPr>
            <w:tcW w:type="dxa" w:w="16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Flujo Mes</w:t>
            </w:r>
          </w:p>
        </w:tc>
        <w:tc>
          <w:tcPr>
            <w:tcW w:type="dxa" w:w="20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Acumulado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$2.850.000</w:t>
            </w:r>
          </w:p>
        </w:tc>
        <w:tc>
          <w:tcPr>
            <w:tcW w:type="dxa" w:w="1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-$2.850.000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-$2.850.000</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bCs/>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$195.000</w:t>
            </w:r>
          </w:p>
        </w:tc>
        <w:tc>
          <w:tcPr>
            <w:tcW w:type="dxa" w:w="16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-$195.000</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-$3.045.000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$130.000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$195.000</w:t>
            </w:r>
          </w:p>
        </w:tc>
        <w:tc>
          <w:tcPr>
            <w:tcW w:type="dxa" w:w="1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-$65.000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-$3.110.000</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bCs/>
                <w:sz w:val="20"/>
                <w:szCs w:val="20"/>
              </w:rPr>
              <w:t xml:space="preserve">3</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$260.000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$195.000</w:t>
            </w:r>
          </w:p>
        </w:tc>
        <w:tc>
          <w:tcPr>
            <w:tcW w:type="dxa" w:w="16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$65.000</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-$3.045.000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$390.000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$195.000</w:t>
            </w:r>
          </w:p>
        </w:tc>
        <w:tc>
          <w:tcPr>
            <w:tcW w:type="dxa" w:w="1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$195.000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-$2.850.000</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bCs/>
                <w:sz w:val="20"/>
                <w:szCs w:val="20"/>
              </w:rPr>
              <w:t xml:space="preserve">5</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$520.000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$195.000</w:t>
            </w:r>
          </w:p>
        </w:tc>
        <w:tc>
          <w:tcPr>
            <w:tcW w:type="dxa" w:w="16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$325.000</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-$2.525.000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$780.000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$195.000</w:t>
            </w:r>
          </w:p>
        </w:tc>
        <w:tc>
          <w:tcPr>
            <w:tcW w:type="dxa" w:w="1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$585.000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-$1.940.000</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bCs/>
                <w:sz w:val="20"/>
                <w:szCs w:val="20"/>
              </w:rPr>
              <w:t xml:space="preserve">7</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6</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$780.000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$195.000</w:t>
            </w:r>
          </w:p>
        </w:tc>
        <w:tc>
          <w:tcPr>
            <w:tcW w:type="dxa" w:w="16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$585.000</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-$1.355.000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$780.000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$195.000</w:t>
            </w:r>
          </w:p>
        </w:tc>
        <w:tc>
          <w:tcPr>
            <w:tcW w:type="dxa" w:w="1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$585.000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-$770.000</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bCs/>
                <w:sz w:val="20"/>
                <w:szCs w:val="20"/>
              </w:rPr>
              <w:t xml:space="preserve">9</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6</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$780.000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$195.000</w:t>
            </w:r>
          </w:p>
        </w:tc>
        <w:tc>
          <w:tcPr>
            <w:tcW w:type="dxa" w:w="16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$585.000</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-$185.000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$780.000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$195.000</w:t>
            </w:r>
          </w:p>
        </w:tc>
        <w:tc>
          <w:tcPr>
            <w:tcW w:type="dxa" w:w="1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$585.000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$400.000</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6</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$780.000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$195.000</w:t>
            </w:r>
          </w:p>
        </w:tc>
        <w:tc>
          <w:tcPr>
            <w:tcW w:type="dxa" w:w="16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$585.000</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$985.000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$780.000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$195.000</w:t>
            </w:r>
          </w:p>
        </w:tc>
        <w:tc>
          <w:tcPr>
            <w:tcW w:type="dxa" w:w="1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$585.000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$1.570.000</w:t>
            </w:r>
          </w:p>
        </w:tc>
      </w:tr>
    </w:tbl>
    <w:p>
      <w:pPr>
        <w:spacing w:after="200"/>
      </w:pPr>
    </w:p>
    <w:p>
      <w:pPr>
        <w:pStyle w:val="Heading1"/>
      </w:pPr>
      <w:r>
        <w:rPr>
          <w:rFonts w:ascii="Arial" w:cs="Arial" w:eastAsia="Arial" w:hAnsi="Arial"/>
        </w:rPr>
        <w:t xml:space="preserve">6. Analisis de Recupero de Inversion</w:t>
      </w:r>
    </w:p>
    <w:p>
      <w:pPr>
        <w:pStyle w:val="ListParagraph"/>
        <w:numPr>
          <w:ilvl w:val="0"/>
          <w:numId w:val="5"/>
        </w:numPr>
      </w:pPr>
      <w:r>
        <w:rPr>
          <w:rFonts w:ascii="Arial" w:cs="Arial" w:eastAsia="Arial" w:hAnsi="Arial"/>
          <w:sz w:val="22"/>
          <w:szCs w:val="22"/>
        </w:rPr>
        <w:t xml:space="preserve">El flujo acumulado se vuelve positivo en el mes 10, lo que marca el punto de recupero de la inversion.</w:t>
      </w:r>
    </w:p>
    <w:p>
      <w:pPr>
        <w:pStyle w:val="ListParagraph"/>
        <w:numPr>
          <w:ilvl w:val="0"/>
          <w:numId w:val="5"/>
        </w:numPr>
      </w:pPr>
      <w:r>
        <w:rPr>
          <w:rFonts w:ascii="Arial" w:cs="Arial" w:eastAsia="Arial" w:hAnsi="Arial"/>
          <w:sz w:val="22"/>
          <w:szCs w:val="22"/>
        </w:rPr>
        <w:t xml:space="preserve">Al finalizar el primer ano, la ganancia neta acumulada es de $1.570.000 ARS.</w:t>
      </w:r>
    </w:p>
    <w:p>
      <w:pPr>
        <w:pStyle w:val="ListParagraph"/>
        <w:numPr>
          <w:ilvl w:val="0"/>
          <w:numId w:val="5"/>
        </w:numPr>
      </w:pPr>
      <w:r>
        <w:rPr>
          <w:rFonts w:ascii="Arial" w:cs="Arial" w:eastAsia="Arial" w:hAnsi="Arial"/>
          <w:sz w:val="22"/>
          <w:szCs w:val="22"/>
        </w:rPr>
        <w:t xml:space="preserve">El margen de ganancia mensual estabilizado es de $585.000 (75% de margen sobre ingresos).</w:t>
      </w:r>
    </w:p>
    <w:p>
      <w:pPr>
        <w:pStyle w:val="ListParagraph"/>
        <w:numPr>
          <w:ilvl w:val="0"/>
          <w:numId w:val="5"/>
        </w:numPr>
      </w:pPr>
      <w:r>
        <w:rPr>
          <w:rFonts w:ascii="Arial" w:cs="Arial" w:eastAsia="Arial" w:hAnsi="Arial"/>
          <w:sz w:val="22"/>
          <w:szCs w:val="22"/>
        </w:rPr>
        <w:t xml:space="preserve">El periodo de recupero de 10 meses es competitivo para un proyecto de software a medida.</w:t>
      </w:r>
    </w:p>
    <w:p>
      <w:r>
        <w:br w:type="page"/>
      </w:r>
    </w:p>
    <w:p>
      <w:pPr>
        <w:pStyle w:val="Heading1"/>
      </w:pPr>
      <w:r>
        <w:rPr>
          <w:rFonts w:ascii="Arial" w:cs="Arial" w:eastAsia="Arial" w:hAnsi="Arial"/>
        </w:rPr>
        <w:t xml:space="preserve">7. Conclusiones</w:t>
      </w:r>
    </w:p>
    <w:p>
      <w:pPr>
        <w:pStyle w:val="ListParagraph"/>
        <w:numPr>
          <w:ilvl w:val="0"/>
          <w:numId w:val="2"/>
        </w:numPr>
      </w:pPr>
      <w:r>
        <w:rPr>
          <w:rFonts w:ascii="Arial" w:cs="Arial" w:eastAsia="Arial" w:hAnsi="Arial"/>
          <w:sz w:val="22"/>
          <w:szCs w:val="22"/>
        </w:rPr>
        <w:t xml:space="preserve">La inversion inicial de $2.850.000 es moderada para un proyecto de software a medida.</w:t>
      </w:r>
    </w:p>
    <w:p>
      <w:pPr>
        <w:pStyle w:val="ListParagraph"/>
        <w:numPr>
          <w:ilvl w:val="0"/>
          <w:numId w:val="2"/>
        </w:numPr>
      </w:pPr>
      <w:r>
        <w:rPr>
          <w:rFonts w:ascii="Arial" w:cs="Arial" w:eastAsia="Arial" w:hAnsi="Arial"/>
          <w:sz w:val="22"/>
          <w:szCs w:val="22"/>
        </w:rPr>
        <w:t xml:space="preserve">El modelo SaaS ofrece ingresos recurrentes y predecibles, ideal para startups.</w:t>
      </w:r>
    </w:p>
    <w:p>
      <w:pPr>
        <w:pStyle w:val="ListParagraph"/>
        <w:numPr>
          <w:ilvl w:val="0"/>
          <w:numId w:val="2"/>
        </w:numPr>
      </w:pPr>
      <w:r>
        <w:rPr>
          <w:rFonts w:ascii="Arial" w:cs="Arial" w:eastAsia="Arial" w:hAnsi="Arial"/>
          <w:sz w:val="22"/>
          <w:szCs w:val="22"/>
        </w:rPr>
        <w:t xml:space="preserve">El sistema es escalable: cada nueva clinica suma $130.000/mes con costo marginal cercano a cero.</w:t>
      </w:r>
    </w:p>
    <w:p>
      <w:pPr>
        <w:pStyle w:val="ListParagraph"/>
        <w:numPr>
          <w:ilvl w:val="0"/>
          <w:numId w:val="2"/>
        </w:numPr>
      </w:pPr>
      <w:r>
        <w:rPr>
          <w:rFonts w:ascii="Arial" w:cs="Arial" w:eastAsia="Arial" w:hAnsi="Arial"/>
          <w:sz w:val="22"/>
          <w:szCs w:val="22"/>
        </w:rPr>
        <w:t xml:space="preserve">El mercado potencial en la region es de +50 clinicas y consultorios que aun gestionan turnos de forma manual o telefonica.</w:t>
      </w:r>
    </w:p>
    <w:p>
      <w:pPr>
        <w:pStyle w:val="ListParagraph"/>
        <w:numPr>
          <w:ilvl w:val="0"/>
          <w:numId w:val="2"/>
        </w:numPr>
      </w:pPr>
      <w:r>
        <w:rPr>
          <w:rFonts w:ascii="Arial" w:cs="Arial" w:eastAsia="Arial" w:hAnsi="Arial"/>
          <w:sz w:val="22"/>
          <w:szCs w:val="22"/>
        </w:rPr>
        <w:t xml:space="preserve">A 24 meses, con 10 clinicas, la ganancia acumulada proyectada supera los $8.000.000 ARS.</w:t>
      </w:r>
    </w:p>
    <w:p>
      <w:pPr>
        <w:spacing w:after="200"/>
      </w:pPr>
    </w:p>
    <w:p>
      <w:pPr>
        <w:spacing w:after="120"/>
        <w:rPr>
          <w:i/>
          <w:iCs/>
          <w:color w:val="555555"/>
        </w:rPr>
      </w:pPr>
      <w:r>
        <w:rPr>
          <w:rFonts w:ascii="Arial" w:cs="Arial" w:eastAsia="Arial" w:hAnsi="Arial"/>
          <w:i/>
          <w:iCs/>
          <w:color w:val="555555"/>
          <w:sz w:val="22"/>
          <w:szCs w:val="22"/>
        </w:rPr>
        <w:t xml:space="preserve">El proyecto demuestra viabilidad economica solida con un retorno de inversion rapido y un mercado con amplio potencial de crecimiento.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1"/>
      </w:pBd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pPr>
    <w:r>
      <w:rPr>
        <w:rFonts w:ascii="Arial" w:cs="Arial" w:eastAsia="Arial" w:hAnsi="Arial"/>
        <w:i/>
        <w:iCs/>
        <w:color w:val="888888"/>
        <w:sz w:val="18"/>
        <w:szCs w:val="18"/>
      </w:rPr>
      <w:t xml:space="preserve">Flujo de Fondos - Clinica Santa Rosa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2026-06-10T22:04:41.485Z</dcterms:created>
  <dcterms:modified xsi:type="dcterms:W3CDTF">2026-06-10T22:04:41.486Z</dcterms:modified>
</cp:coreProperties>
</file>

<file path=docProps/custom.xml><?xml version="1.0" encoding="utf-8"?>
<Properties xmlns="http://schemas.openxmlformats.org/officeDocument/2006/custom-properties" xmlns:vt="http://schemas.openxmlformats.org/officeDocument/2006/docPropsVTypes"/>
</file>