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52"/>
          <w:szCs w:val="52"/>
          <w:rtl w:val="0"/>
        </w:rPr>
        <w:t xml:space="preserve">PLAN DE GESTIÓN DE RIESGOS</w:t>
        <w:br w:type="textWrapping"/>
        <w:t xml:space="preserve">PROYECTO TITAN</w:t>
      </w:r>
      <w:r w:rsidDel="00000000" w:rsidR="00000000" w:rsidRPr="00000000">
        <w:rPr>
          <w:rtl w:val="0"/>
        </w:rPr>
      </w:r>
    </w:p>
    <w:p w:rsidR="00000000" w:rsidDel="00000000" w:rsidP="00000000" w:rsidRDefault="00000000" w:rsidRPr="00000000" w14:paraId="00000003">
      <w:pPr>
        <w:spacing w:after="2400" w:lineRule="auto"/>
        <w:jc w:val="center"/>
        <w:rPr/>
      </w:pPr>
      <w:r w:rsidDel="00000000" w:rsidR="00000000" w:rsidRPr="00000000">
        <w:rPr>
          <w:i w:val="1"/>
          <w:iCs w:val="1"/>
          <w:color w:val="595959"/>
          <w:sz w:val="28"/>
          <w:szCs w:val="28"/>
          <w:rtl w:val="0"/>
        </w:rPr>
        <w:t xml:space="preserve">Informe de Estrategia y Análisis Cuantitativo de Riesgos (Informe 2)</w:t>
      </w:r>
      <w:r w:rsidDel="00000000" w:rsidR="00000000" w:rsidRPr="00000000">
        <w:rPr>
          <w:rtl w:val="0"/>
        </w:rPr>
      </w:r>
    </w:p>
    <w:p w:rsidR="00000000" w:rsidDel="00000000" w:rsidP="00000000" w:rsidRDefault="00000000" w:rsidRPr="00000000" w14:paraId="00000004">
      <w:pPr>
        <w:ind w:left="1440" w:firstLine="0"/>
        <w:rPr/>
      </w:pPr>
      <w:r w:rsidDel="00000000" w:rsidR="00000000" w:rsidRPr="00000000">
        <w:rPr>
          <w:b w:val="1"/>
          <w:bCs w:val="1"/>
          <w:rtl w:val="0"/>
        </w:rPr>
        <w:t xml:space="preserve">Cliente:</w:t>
      </w:r>
      <w:r w:rsidDel="00000000" w:rsidR="00000000" w:rsidRPr="00000000">
        <w:rPr>
          <w:rtl w:val="0"/>
        </w:rPr>
        <w:t xml:space="preserve"> NovaMining S.A.</w:t>
        <w:br w:type="textWrapping"/>
      </w:r>
      <w:r w:rsidDel="00000000" w:rsidR="00000000" w:rsidRPr="00000000">
        <w:rPr>
          <w:b w:val="1"/>
          <w:bCs w:val="1"/>
          <w:rtl w:val="0"/>
        </w:rPr>
        <w:t xml:space="preserve">Integrantes:</w:t>
      </w:r>
      <w:r w:rsidDel="00000000" w:rsidR="00000000" w:rsidRPr="00000000">
        <w:rPr>
          <w:rtl w:val="0"/>
        </w:rPr>
        <w:t xml:space="preserve"> Carlos Viera, Renato Reinoso</w:t>
        <w:br w:type="textWrapping"/>
      </w:r>
      <w:r w:rsidDel="00000000" w:rsidR="00000000" w:rsidRPr="00000000">
        <w:rPr>
          <w:b w:val="1"/>
          <w:bCs w:val="1"/>
          <w:rtl w:val="0"/>
        </w:rPr>
        <w:t xml:space="preserve">Asignatura:</w:t>
      </w:r>
      <w:r w:rsidDel="00000000" w:rsidR="00000000" w:rsidRPr="00000000">
        <w:rPr>
          <w:rtl w:val="0"/>
        </w:rPr>
        <w:t xml:space="preserve"> Gestión de Riesgos (GPY7111)</w:t>
        <w:br w:type="textWrapping"/>
      </w:r>
      <w:r w:rsidDel="00000000" w:rsidR="00000000" w:rsidRPr="00000000">
        <w:rPr>
          <w:b w:val="1"/>
          <w:bCs w:val="1"/>
          <w:rtl w:val="0"/>
        </w:rPr>
        <w:t xml:space="preserve">Fecha:</w:t>
      </w:r>
      <w:r w:rsidDel="00000000" w:rsidR="00000000" w:rsidRPr="00000000">
        <w:rPr>
          <w:rtl w:val="0"/>
        </w:rPr>
        <w:t xml:space="preserve"> Mayo, 2026</w:t>
        <w:br w:type="textWrapping"/>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40" w:lineRule="auto"/>
        <w:rPr/>
      </w:pPr>
      <w:r w:rsidDel="00000000" w:rsidR="00000000" w:rsidRPr="00000000">
        <w:rPr>
          <w:color w:val="1f4e79"/>
          <w:sz w:val="36"/>
          <w:szCs w:val="36"/>
          <w:rtl w:val="0"/>
        </w:rPr>
        <w:t xml:space="preserve">ÍNDICE GENERAL</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t xml:space="preserve">1. RESUMEN EJECUTIVO</w:t>
      </w:r>
    </w:p>
    <w:p w:rsidR="00000000" w:rsidDel="00000000" w:rsidP="00000000" w:rsidRDefault="00000000" w:rsidRPr="00000000" w14:paraId="00000008">
      <w:pPr>
        <w:spacing w:after="80" w:lineRule="auto"/>
        <w:rPr/>
      </w:pPr>
      <w:r w:rsidDel="00000000" w:rsidR="00000000" w:rsidRPr="00000000">
        <w:rPr>
          <w:rtl w:val="0"/>
        </w:rPr>
        <w:t xml:space="preserve">2. DESARROLLO DEL PLAN</w:t>
      </w:r>
    </w:p>
    <w:p w:rsidR="00000000" w:rsidDel="00000000" w:rsidP="00000000" w:rsidRDefault="00000000" w:rsidRPr="00000000" w14:paraId="00000009">
      <w:pPr>
        <w:spacing w:after="80" w:lineRule="auto"/>
        <w:rPr/>
      </w:pPr>
      <w:r w:rsidDel="00000000" w:rsidR="00000000" w:rsidRPr="00000000">
        <w:rPr>
          <w:rtl w:val="0"/>
        </w:rPr>
        <w:t xml:space="preserve">   2.1 Estructura de Desglose de Riesgos (RBS) Depurado</w:t>
      </w:r>
    </w:p>
    <w:p w:rsidR="00000000" w:rsidDel="00000000" w:rsidP="00000000" w:rsidRDefault="00000000" w:rsidRPr="00000000" w14:paraId="0000000A">
      <w:pPr>
        <w:spacing w:after="80" w:lineRule="auto"/>
        <w:rPr/>
      </w:pPr>
      <w:r w:rsidDel="00000000" w:rsidR="00000000" w:rsidRPr="00000000">
        <w:rPr>
          <w:rtl w:val="0"/>
        </w:rPr>
        <w:t xml:space="preserve">   2.2 Diseño del Plan de Gestión de Riesgos</w:t>
      </w:r>
    </w:p>
    <w:p w:rsidR="00000000" w:rsidDel="00000000" w:rsidP="00000000" w:rsidRDefault="00000000" w:rsidRPr="00000000" w14:paraId="0000000B">
      <w:pPr>
        <w:spacing w:after="80" w:lineRule="auto"/>
        <w:rPr/>
      </w:pPr>
      <w:r w:rsidDel="00000000" w:rsidR="00000000" w:rsidRPr="00000000">
        <w:rPr>
          <w:rtl w:val="0"/>
        </w:rPr>
        <w:t xml:space="preserve">       2.2.1 Definición de Roles y Responsabilidades</w:t>
      </w:r>
    </w:p>
    <w:p w:rsidR="00000000" w:rsidDel="00000000" w:rsidP="00000000" w:rsidRDefault="00000000" w:rsidRPr="00000000" w14:paraId="0000000C">
      <w:pPr>
        <w:spacing w:after="80" w:lineRule="auto"/>
        <w:rPr/>
      </w:pPr>
      <w:r w:rsidDel="00000000" w:rsidR="00000000" w:rsidRPr="00000000">
        <w:rPr>
          <w:rtl w:val="0"/>
        </w:rPr>
        <w:t xml:space="preserve">       2.2.2 Definición de Metodología</w:t>
      </w:r>
    </w:p>
    <w:p w:rsidR="00000000" w:rsidDel="00000000" w:rsidP="00000000" w:rsidRDefault="00000000" w:rsidRPr="00000000" w14:paraId="0000000D">
      <w:pPr>
        <w:spacing w:after="80" w:lineRule="auto"/>
        <w:rPr/>
      </w:pPr>
      <w:r w:rsidDel="00000000" w:rsidR="00000000" w:rsidRPr="00000000">
        <w:rPr>
          <w:rtl w:val="0"/>
        </w:rPr>
        <w:t xml:space="preserve">       2.2.3 Definición de Recursos</w:t>
      </w:r>
    </w:p>
    <w:p w:rsidR="00000000" w:rsidDel="00000000" w:rsidP="00000000" w:rsidRDefault="00000000" w:rsidRPr="00000000" w14:paraId="0000000E">
      <w:pPr>
        <w:spacing w:after="80" w:lineRule="auto"/>
        <w:rPr/>
      </w:pPr>
      <w:r w:rsidDel="00000000" w:rsidR="00000000" w:rsidRPr="00000000">
        <w:rPr>
          <w:rtl w:val="0"/>
        </w:rPr>
        <w:t xml:space="preserve">   2.3 Cronograma del Plan y Matriz de Asignación de Responsabilidades (RACI)</w:t>
      </w:r>
    </w:p>
    <w:p w:rsidR="00000000" w:rsidDel="00000000" w:rsidP="00000000" w:rsidRDefault="00000000" w:rsidRPr="00000000" w14:paraId="0000000F">
      <w:pPr>
        <w:spacing w:after="80" w:lineRule="auto"/>
        <w:rPr/>
      </w:pPr>
      <w:r w:rsidDel="00000000" w:rsidR="00000000" w:rsidRPr="00000000">
        <w:rPr>
          <w:rtl w:val="0"/>
        </w:rPr>
        <w:t xml:space="preserve">   2.4 Indicadores de Probabilidad e Impacto</w:t>
      </w:r>
    </w:p>
    <w:p w:rsidR="00000000" w:rsidDel="00000000" w:rsidP="00000000" w:rsidRDefault="00000000" w:rsidRPr="00000000" w14:paraId="00000010">
      <w:pPr>
        <w:spacing w:after="80" w:lineRule="auto"/>
        <w:rPr/>
      </w:pPr>
      <w:r w:rsidDel="00000000" w:rsidR="00000000" w:rsidRPr="00000000">
        <w:rPr>
          <w:rtl w:val="0"/>
        </w:rPr>
        <w:t xml:space="preserve">   2.5 Acciones Basadas en el Nivel Cualitativo del Riesgo</w:t>
      </w:r>
    </w:p>
    <w:p w:rsidR="00000000" w:rsidDel="00000000" w:rsidP="00000000" w:rsidRDefault="00000000" w:rsidRPr="00000000" w14:paraId="00000011">
      <w:pPr>
        <w:spacing w:after="80" w:lineRule="auto"/>
        <w:rPr/>
      </w:pPr>
      <w:r w:rsidDel="00000000" w:rsidR="00000000" w:rsidRPr="00000000">
        <w:rPr>
          <w:rtl w:val="0"/>
        </w:rPr>
        <w:t xml:space="preserve">   2.6 Análisis Cuantitativo de Riesgos (PERT, Árbol de Decisión, Monte Carlo)</w:t>
      </w:r>
    </w:p>
    <w:p w:rsidR="00000000" w:rsidDel="00000000" w:rsidP="00000000" w:rsidRDefault="00000000" w:rsidRPr="00000000" w14:paraId="00000012">
      <w:pPr>
        <w:spacing w:after="80" w:lineRule="auto"/>
        <w:rPr/>
      </w:pPr>
      <w:r w:rsidDel="00000000" w:rsidR="00000000" w:rsidRPr="00000000">
        <w:rPr>
          <w:rtl w:val="0"/>
        </w:rPr>
        <w:t xml:space="preserve">3. CONCLUSIONES Y RECOMENDACIONES</w:t>
      </w:r>
    </w:p>
    <w:p w:rsidR="00000000" w:rsidDel="00000000" w:rsidP="00000000" w:rsidRDefault="00000000" w:rsidRPr="00000000" w14:paraId="00000013">
      <w:pPr>
        <w:spacing w:after="80" w:lineRule="auto"/>
        <w:rPr/>
      </w:pPr>
      <w:r w:rsidDel="00000000" w:rsidR="00000000" w:rsidRPr="00000000">
        <w:rPr>
          <w:rtl w:val="0"/>
        </w:rPr>
        <w:t xml:space="preserve">4. BIBLIOGRAFÍA (FORMATO APA)</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color w:val="1f4e79"/>
          <w:sz w:val="32"/>
          <w:szCs w:val="32"/>
          <w:rtl w:val="0"/>
        </w:rPr>
        <w:t xml:space="preserve">1. RESUMEN EJECUTIVO</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presente informe expone de forma detallada y sistemática el Plan de Gestión de Riesgos estructurado para el Proyecto TITAN de NovaMining S.A. Esta iniciativa tiene como objetivo estratégico central la integración de sensores IoT avanzados con la infraestructura SCADA preexistente, con el fin de generar modelos analíticos e indicadores de monitoreo predictivo en tiempo real dentro de las faenas mineras. Tras una primera fase de diagnóstico donde se identificó un perfil base de 100 riesgos operacionales —fuertemente dominado por deficiencias técnicas que representan un 63% de las amenazas globales—, este segundo entregable define formalmente las metodologías de mitigación, gobernanza, matrices de responsabilidad y los marcos matemáticos cuantitativos obligatorios para neutralizar imprevistos de alta severidad. Entre estos factores críticos se incluyen ataques cibernéticos reales del tipo Man-in-the-Middle (MITM) detectados en la semana 11, debilidades en los estándares de cifrado del proveedor externo (MINERATEK Ltda.), la presencia de ruido y baja disponibilidad en las APIs del SCADA, y el estrés laboral derivado de la carencia inicial de un Acta de Constitución aprobada.</w:t>
      </w:r>
    </w:p>
    <w:p w:rsidR="00000000" w:rsidDel="00000000" w:rsidP="00000000" w:rsidRDefault="00000000" w:rsidRPr="00000000" w14:paraId="00000017">
      <w:pPr>
        <w:pStyle w:val="Heading1"/>
        <w:rPr/>
      </w:pPr>
      <w:r w:rsidDel="00000000" w:rsidR="00000000" w:rsidRPr="00000000">
        <w:rPr>
          <w:color w:val="1f4e79"/>
          <w:sz w:val="32"/>
          <w:szCs w:val="32"/>
          <w:rtl w:val="0"/>
        </w:rPr>
        <w:t xml:space="preserve">2. DESARROLLO DEL PLAN</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color w:val="1f4e79"/>
          <w:rtl w:val="0"/>
        </w:rPr>
        <w:t xml:space="preserve">2.1 Estructura de Desglose de Riesgos (RBS) Depurado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partir del catálogo integral de 100 riesgos categorizados con anterioridad, se ha desarrollado una Estructura de Desglose de Riesgos (RBS) depurada y optimizada para la realidad operacional y tecnológica del proyecto minero. Los riesgos se distribuyen y jerarquizan bajo los siguientes pilares fundamentales: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1.0 Riesgos Técnicos (63%):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Focalizados principalmente en fallas de ciberseguridad en redes de sensores IoT, inestabilidad de la API e inconsistencia en los flujos de extracción de datos del SCADA, latencias en redes de faena y errores de desarrollo de software local.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2.0 Riesgos de Gestión (13%):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Asociados directamente a la falta de un Acta de Constitución formalizada para fijar el alcance del MVP de 5 meses, desalineación de expectativas con la gerencia y sobrecarga laboral severa por duplicidad de funciones operativas.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3.0 Riesgos Externos (14%):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Concentrados en el incumplimiento de protocolos de seguridad TI por subcontratistas (por ejemplo, el software sin encriptación de MINERATEK Ltda.) y demoras en la cadena logística de suministro de hardware.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4.0 Riesgos Organizacionales (10%):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Originados por la presión extrema del patrocinador (Gerente de Innovación) por ver resultados rápidos, resistencia al cambio tecnológico de los operarios mineros de planta y falta de capacitaciones oportunas.</w:t>
      </w:r>
    </w:p>
    <w:p w:rsidR="00000000" w:rsidDel="00000000" w:rsidP="00000000" w:rsidRDefault="00000000" w:rsidRPr="00000000" w14:paraId="0000001E">
      <w:pPr>
        <w:pStyle w:val="Heading2"/>
        <w:rPr/>
      </w:pPr>
      <w:r w:rsidDel="00000000" w:rsidR="00000000" w:rsidRPr="00000000">
        <w:rPr>
          <w:color w:val="1f4e79"/>
          <w:rtl w:val="0"/>
        </w:rPr>
        <w:t xml:space="preserve">2.2 Diseño del Plan de Gestión de Riesgos</w:t>
      </w: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color w:val="1f4e79"/>
          <w:rtl w:val="0"/>
        </w:rPr>
        <w:t xml:space="preserve">2.2.1 Definición de Roles y Responsabilidades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Para garantizar la gobernanza del plan de gestión de riesgos, se definen perfiles operativos específicos para los integrantes del equipo interno: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Project Manager (Carlos Viera):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Responsable de liderar la gobernanza político-operativa del proyecto. Sus funciones abarcan la gestión integral del alcance del MVP, la firma definitiva del Acta de Constitución con el patrocinador, la resolución de conflictos contractuales con terceros y la supervisión del presupuesto general de contingencias financieras.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Analista de Riesgos y Lead Developer (Renato Reinoso):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Encargado del control técnico rutinario y de la implementación de contramedidas informáticas. Sus funciones directas consisten en auditar el estado del cifrado del software entregado por MINERATEK Ltda., desarrollar scripts de limpieza para la API ruidosa del SCADA y desplegar los mecanismos de seguridad informática perimetral en la red IoT para neutralizar los ataques del tipo Man-in-the-Middle (MITM).</w:t>
      </w:r>
    </w:p>
    <w:p w:rsidR="00000000" w:rsidDel="00000000" w:rsidP="00000000" w:rsidRDefault="00000000" w:rsidRPr="00000000" w14:paraId="00000023">
      <w:pPr>
        <w:pStyle w:val="Heading3"/>
        <w:rPr/>
      </w:pPr>
      <w:r w:rsidDel="00000000" w:rsidR="00000000" w:rsidRPr="00000000">
        <w:rPr>
          <w:color w:val="1f4e79"/>
          <w:rtl w:val="0"/>
        </w:rPr>
        <w:t xml:space="preserve">2.2.2 Definición de Metodología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 ciclo de gestión de riesgos del Proyecto TITAN se ejecutará de forma sistemática con una periodicidad quincenal, utilizando como base el enfoque híbrido que combina la Lluvia de Ideas inicial para la detección temprana con el Método Delphi para lograr el consenso técnico sobre la priorización de amenazas. Las fuentes de información primaria serán los logs de auditoría de red (con especial atención en las anomalías detectadas durante el ataque MITM de la semana 11), la documentación de integración de las APIs del SCADA corporativo, los reportes de control de horas del equipo de desarrollo, y las normativas y exigencias de cumplimiento emitidas de manera mandatoria por el departamento de Seguridad TI de NovaMining S.A.</w:t>
      </w:r>
    </w:p>
    <w:p w:rsidR="00000000" w:rsidDel="00000000" w:rsidP="00000000" w:rsidRDefault="00000000" w:rsidRPr="00000000" w14:paraId="00000025">
      <w:pPr>
        <w:pStyle w:val="Heading3"/>
        <w:rPr/>
      </w:pPr>
      <w:r w:rsidDel="00000000" w:rsidR="00000000" w:rsidRPr="00000000">
        <w:rPr>
          <w:color w:val="1f4e79"/>
          <w:rtl w:val="0"/>
        </w:rPr>
        <w:t xml:space="preserve">2.2.3 Definición de Recursos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ejecución del presente plan requiere la disposición de recursos transversales clasificados en tres dimensiones: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Herramientas de Hardware: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Servidores locales dedicados a entornos de pre-producción y pruebas de estrés, hardware de filtrado perimetral de red (Firewalls) en faena y módulos IoT de respaldo para pruebas de laboratorio.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Herramientas de Software: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Plataformas informáticas para el seguimiento y actualización de la Matriz de Riesgos y la Carta Gantt, herramientas estadísticas especializadas en simulación estocástica avanzadas (Monte Carlo), y suites informáticas de ciberseguridad para el escaneo de vulnerabilidades en puertos de red.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Estructuras de Datos: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Ficheros históricos de telemetría capturada por los sensores, esquemas técnicos de la API SCADA, matrices de riesgos previas corporativas e informes técnicos de auditorías a los subcontratistas.</w:t>
      </w:r>
    </w:p>
    <w:p w:rsidR="00000000" w:rsidDel="00000000" w:rsidP="00000000" w:rsidRDefault="00000000" w:rsidRPr="00000000" w14:paraId="0000002A">
      <w:pPr>
        <w:pStyle w:val="Heading2"/>
        <w:rPr/>
      </w:pPr>
      <w:r w:rsidDel="00000000" w:rsidR="00000000" w:rsidRPr="00000000">
        <w:rPr>
          <w:color w:val="1f4e79"/>
          <w:rtl w:val="0"/>
        </w:rPr>
        <w:t xml:space="preserve">2.3 Cronograma del Plan y Matriz de Asignación de Responsabilidades (RACI)</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cronograma operativo del plan de mitigación se alinea con el MVP de 5 meses, organizando los esfuerzos críticos en las siguientes etapas:</w:t>
        <w:br w:type="textWrapping"/>
        <w:t xml:space="preserve">• Semanas 1-2: Formalización institucional del Acta de Constitución del proyecto y delimitación de hitos técnicos comerciales.</w:t>
        <w:br w:type="textWrapping"/>
        <w:t xml:space="preserve">• Semanas 3-4: Auditoría forense externa del software y librerías de cifrado de datos provistos por MINERATEK Ltda.</w:t>
        <w:br w:type="textWrapping"/>
        <w:t xml:space="preserve">• Semanas 5-6: Despliegue de túneles cifrados y encriptación simétrica local para repeler ataques MITM en sensores IoT.</w:t>
        <w:br w:type="textWrapping"/>
        <w:t xml:space="preserve">• Semanas 7-8: Programación de filtros y capas de estabilidad sobre las consultas ruidosas de la API del SCADA.</w:t>
      </w:r>
    </w:p>
    <w:p w:rsidR="00000000" w:rsidDel="00000000" w:rsidP="00000000" w:rsidRDefault="00000000" w:rsidRPr="00000000" w14:paraId="0000002C">
      <w:pPr>
        <w:rPr/>
      </w:pPr>
      <w:r w:rsidDel="00000000" w:rsidR="00000000" w:rsidRPr="00000000">
        <w:rPr>
          <w:rtl w:val="0"/>
        </w:rPr>
        <w:t xml:space="preserve">Con el propósito de coordinar la ejecución táctica, se define la siguiente Matriz RACI para las actividades asociadas a los riesgos prioritarios: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2D">
            <w:pPr>
              <w:jc w:val="center"/>
              <w:rPr/>
            </w:pPr>
            <w:r w:rsidDel="00000000" w:rsidR="00000000" w:rsidRPr="00000000">
              <w:rPr>
                <w:b w:val="1"/>
                <w:bCs w:val="1"/>
                <w:color w:val="ffffff"/>
                <w:sz w:val="20"/>
                <w:szCs w:val="20"/>
                <w:rtl w:val="0"/>
              </w:rPr>
              <w:t xml:space="preserve">Actividad Crítica de Mitigación</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2E">
            <w:pPr>
              <w:jc w:val="center"/>
              <w:rPr/>
            </w:pPr>
            <w:r w:rsidDel="00000000" w:rsidR="00000000" w:rsidRPr="00000000">
              <w:rPr>
                <w:b w:val="1"/>
                <w:bCs w:val="1"/>
                <w:color w:val="ffffff"/>
                <w:sz w:val="20"/>
                <w:szCs w:val="20"/>
                <w:rtl w:val="0"/>
              </w:rPr>
              <w:t xml:space="preserve">PM (Carlos V.)</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2F">
            <w:pPr>
              <w:jc w:val="center"/>
              <w:rPr/>
            </w:pPr>
            <w:r w:rsidDel="00000000" w:rsidR="00000000" w:rsidRPr="00000000">
              <w:rPr>
                <w:b w:val="1"/>
                <w:bCs w:val="1"/>
                <w:color w:val="ffffff"/>
                <w:sz w:val="20"/>
                <w:szCs w:val="20"/>
                <w:rtl w:val="0"/>
              </w:rPr>
              <w:t xml:space="preserve">Lead Dev (Renato R.)</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30">
            <w:pPr>
              <w:jc w:val="center"/>
              <w:rPr/>
            </w:pPr>
            <w:r w:rsidDel="00000000" w:rsidR="00000000" w:rsidRPr="00000000">
              <w:rPr>
                <w:b w:val="1"/>
                <w:bCs w:val="1"/>
                <w:color w:val="ffffff"/>
                <w:sz w:val="20"/>
                <w:szCs w:val="20"/>
                <w:rtl w:val="0"/>
              </w:rPr>
              <w:t xml:space="preserve">Seguridad TI</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31">
            <w:pPr>
              <w:jc w:val="center"/>
              <w:rPr/>
            </w:pPr>
            <w:r w:rsidDel="00000000" w:rsidR="00000000" w:rsidRPr="00000000">
              <w:rPr>
                <w:b w:val="1"/>
                <w:bCs w:val="1"/>
                <w:color w:val="ffffff"/>
                <w:sz w:val="20"/>
                <w:szCs w:val="20"/>
                <w:rtl w:val="0"/>
              </w:rPr>
              <w:t xml:space="preserve">Proveedor</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sz w:val="20"/>
                <w:szCs w:val="20"/>
                <w:rtl w:val="0"/>
              </w:rPr>
              <w:t xml:space="preserve">Firma y Definición del Acta de Constitución</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3">
            <w:pPr>
              <w:jc w:val="center"/>
              <w:rPr/>
            </w:pPr>
            <w:r w:rsidDel="00000000" w:rsidR="00000000" w:rsidRPr="00000000">
              <w:rPr>
                <w:b w:val="1"/>
                <w:bCs w:val="1"/>
                <w:sz w:val="20"/>
                <w:szCs w:val="20"/>
                <w:rtl w:val="0"/>
              </w:rPr>
              <w:t xml:space="preserve">R</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4">
            <w:pPr>
              <w:jc w:val="center"/>
              <w:rPr/>
            </w:pPr>
            <w:r w:rsidDel="00000000" w:rsidR="00000000" w:rsidRPr="00000000">
              <w:rPr>
                <w:b w:val="1"/>
                <w:bCs w:val="1"/>
                <w:sz w:val="20"/>
                <w:szCs w:val="20"/>
                <w:rtl w:val="0"/>
              </w:rPr>
              <w:t xml:space="preserve">C</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5">
            <w:pPr>
              <w:jc w:val="center"/>
              <w:rPr/>
            </w:pPr>
            <w:r w:rsidDel="00000000" w:rsidR="00000000" w:rsidRPr="00000000">
              <w:rPr>
                <w:b w:val="1"/>
                <w:bCs w:val="1"/>
                <w:sz w:val="20"/>
                <w:szCs w:val="20"/>
                <w:rtl w:val="0"/>
              </w:rPr>
              <w:t xml:space="preserve">A</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6">
            <w:pPr>
              <w:jc w:val="center"/>
              <w:rPr/>
            </w:pPr>
            <w:r w:rsidDel="00000000" w:rsidR="00000000" w:rsidRPr="00000000">
              <w:rPr>
                <w:b w:val="1"/>
                <w:bCs w:val="1"/>
                <w:sz w:val="20"/>
                <w:szCs w:val="20"/>
                <w:rtl w:val="0"/>
              </w:rPr>
              <w:t xml:space="preserve">I</w:t>
            </w:r>
            <w:r w:rsidDel="00000000" w:rsidR="00000000" w:rsidRPr="00000000">
              <w:rPr>
                <w:rtl w:val="0"/>
              </w:rPr>
            </w:r>
          </w:p>
        </w:tc>
      </w:tr>
      <w:tr>
        <w:trPr>
          <w:cantSplit w:val="0"/>
          <w:tblHeader w:val="0"/>
        </w:trPr>
        <w:tc>
          <w:tcPr>
            <w:shd w:fill="f2f2f2"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sz w:val="20"/>
                <w:szCs w:val="20"/>
                <w:rtl w:val="0"/>
              </w:rPr>
              <w:t xml:space="preserve">Auditoría de Cifrado de Componentes Externos</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38">
            <w:pPr>
              <w:jc w:val="center"/>
              <w:rPr/>
            </w:pPr>
            <w:r w:rsidDel="00000000" w:rsidR="00000000" w:rsidRPr="00000000">
              <w:rPr>
                <w:b w:val="1"/>
                <w:bCs w:val="1"/>
                <w:sz w:val="20"/>
                <w:szCs w:val="20"/>
                <w:rtl w:val="0"/>
              </w:rPr>
              <w:t xml:space="preserve">A</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39">
            <w:pPr>
              <w:jc w:val="center"/>
              <w:rPr/>
            </w:pPr>
            <w:r w:rsidDel="00000000" w:rsidR="00000000" w:rsidRPr="00000000">
              <w:rPr>
                <w:b w:val="1"/>
                <w:bCs w:val="1"/>
                <w:sz w:val="20"/>
                <w:szCs w:val="20"/>
                <w:rtl w:val="0"/>
              </w:rPr>
              <w:t xml:space="preserve">R</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3A">
            <w:pPr>
              <w:jc w:val="center"/>
              <w:rPr/>
            </w:pPr>
            <w:r w:rsidDel="00000000" w:rsidR="00000000" w:rsidRPr="00000000">
              <w:rPr>
                <w:b w:val="1"/>
                <w:bCs w:val="1"/>
                <w:sz w:val="20"/>
                <w:szCs w:val="20"/>
                <w:rtl w:val="0"/>
              </w:rPr>
              <w:t xml:space="preserve">C</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3B">
            <w:pPr>
              <w:jc w:val="center"/>
              <w:rPr/>
            </w:pPr>
            <w:r w:rsidDel="00000000" w:rsidR="00000000" w:rsidRPr="00000000">
              <w:rPr>
                <w:b w:val="1"/>
                <w:bCs w:val="1"/>
                <w:sz w:val="20"/>
                <w:szCs w:val="20"/>
                <w:rtl w:val="0"/>
              </w:rPr>
              <w:t xml:space="preserve">I</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sz w:val="20"/>
                <w:szCs w:val="20"/>
                <w:rtl w:val="0"/>
              </w:rPr>
              <w:t xml:space="preserve">Despliegue de Seguridad Anti-MITM en IoT</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D">
            <w:pPr>
              <w:jc w:val="center"/>
              <w:rPr/>
            </w:pPr>
            <w:r w:rsidDel="00000000" w:rsidR="00000000" w:rsidRPr="00000000">
              <w:rPr>
                <w:b w:val="1"/>
                <w:bCs w:val="1"/>
                <w:sz w:val="20"/>
                <w:szCs w:val="20"/>
                <w:rtl w:val="0"/>
              </w:rPr>
              <w:t xml:space="preserve">A</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E">
            <w:pPr>
              <w:jc w:val="center"/>
              <w:rPr/>
            </w:pPr>
            <w:r w:rsidDel="00000000" w:rsidR="00000000" w:rsidRPr="00000000">
              <w:rPr>
                <w:b w:val="1"/>
                <w:bCs w:val="1"/>
                <w:sz w:val="20"/>
                <w:szCs w:val="20"/>
                <w:rtl w:val="0"/>
              </w:rPr>
              <w:t xml:space="preserve">R</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3F">
            <w:pPr>
              <w:jc w:val="center"/>
              <w:rPr/>
            </w:pPr>
            <w:r w:rsidDel="00000000" w:rsidR="00000000" w:rsidRPr="00000000">
              <w:rPr>
                <w:b w:val="1"/>
                <w:bCs w:val="1"/>
                <w:sz w:val="20"/>
                <w:szCs w:val="20"/>
                <w:rtl w:val="0"/>
              </w:rPr>
              <w:t xml:space="preserve">C</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40">
            <w:pPr>
              <w:jc w:val="center"/>
              <w:rPr/>
            </w:pPr>
            <w:r w:rsidDel="00000000" w:rsidR="00000000" w:rsidRPr="00000000">
              <w:rPr>
                <w:b w:val="1"/>
                <w:bCs w:val="1"/>
                <w:sz w:val="20"/>
                <w:szCs w:val="20"/>
                <w:rtl w:val="0"/>
              </w:rPr>
              <w:t xml:space="preserve">I</w:t>
            </w:r>
            <w:r w:rsidDel="00000000" w:rsidR="00000000" w:rsidRPr="00000000">
              <w:rPr>
                <w:rtl w:val="0"/>
              </w:rPr>
            </w:r>
          </w:p>
        </w:tc>
      </w:tr>
      <w:tr>
        <w:trPr>
          <w:cantSplit w:val="0"/>
          <w:tblHeader w:val="0"/>
        </w:trPr>
        <w:tc>
          <w:tcPr>
            <w:shd w:fill="f2f2f2"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sz w:val="20"/>
                <w:szCs w:val="20"/>
                <w:rtl w:val="0"/>
              </w:rPr>
              <w:t xml:space="preserve">Filtro y Estabilización de la API SCADA</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42">
            <w:pPr>
              <w:jc w:val="center"/>
              <w:rPr/>
            </w:pPr>
            <w:r w:rsidDel="00000000" w:rsidR="00000000" w:rsidRPr="00000000">
              <w:rPr>
                <w:b w:val="1"/>
                <w:bCs w:val="1"/>
                <w:sz w:val="20"/>
                <w:szCs w:val="20"/>
                <w:rtl w:val="0"/>
              </w:rPr>
              <w:t xml:space="preserve">A</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43">
            <w:pPr>
              <w:jc w:val="center"/>
              <w:rPr/>
            </w:pPr>
            <w:r w:rsidDel="00000000" w:rsidR="00000000" w:rsidRPr="00000000">
              <w:rPr>
                <w:b w:val="1"/>
                <w:bCs w:val="1"/>
                <w:sz w:val="20"/>
                <w:szCs w:val="20"/>
                <w:rtl w:val="0"/>
              </w:rPr>
              <w:t xml:space="preserve">R</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44">
            <w:pPr>
              <w:jc w:val="center"/>
              <w:rPr/>
            </w:pPr>
            <w:r w:rsidDel="00000000" w:rsidR="00000000" w:rsidRPr="00000000">
              <w:rPr>
                <w:b w:val="1"/>
                <w:bCs w:val="1"/>
                <w:sz w:val="20"/>
                <w:szCs w:val="20"/>
                <w:rtl w:val="0"/>
              </w:rPr>
              <w:t xml:space="preserve">I</w:t>
            </w:r>
            <w:r w:rsidDel="00000000" w:rsidR="00000000" w:rsidRPr="00000000">
              <w:rPr>
                <w:rtl w:val="0"/>
              </w:rPr>
            </w:r>
          </w:p>
        </w:tc>
        <w:tc>
          <w:tcPr>
            <w:shd w:fill="f2f2f2" w:val="clear"/>
            <w:tcMar>
              <w:top w:w="80.0" w:type="dxa"/>
              <w:left w:w="150.0" w:type="dxa"/>
              <w:bottom w:w="80.0" w:type="dxa"/>
              <w:right w:w="150.0" w:type="dxa"/>
            </w:tcMar>
          </w:tcPr>
          <w:p w:rsidR="00000000" w:rsidDel="00000000" w:rsidP="00000000" w:rsidRDefault="00000000" w:rsidRPr="00000000" w14:paraId="00000045">
            <w:pPr>
              <w:jc w:val="center"/>
              <w:rPr/>
            </w:pPr>
            <w:r w:rsidDel="00000000" w:rsidR="00000000" w:rsidRPr="00000000">
              <w:rPr>
                <w:b w:val="1"/>
                <w:bCs w:val="1"/>
                <w:sz w:val="20"/>
                <w:szCs w:val="20"/>
                <w:rtl w:val="0"/>
              </w:rPr>
              <w:t xml:space="preserve">I</w:t>
            </w:r>
            <w:r w:rsidDel="00000000" w:rsidR="00000000" w:rsidRPr="00000000">
              <w:rPr>
                <w:rtl w:val="0"/>
              </w:rPr>
            </w:r>
          </w:p>
        </w:tc>
      </w:tr>
      <w:tr>
        <w:trPr>
          <w:cantSplit w:val="0"/>
          <w:tblHeader w:val="0"/>
        </w:trPr>
        <w:tc>
          <w:tcPr>
            <w:shd w:fill="ffffff"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sz w:val="20"/>
                <w:szCs w:val="20"/>
                <w:rtl w:val="0"/>
              </w:rPr>
              <w:t xml:space="preserve">Plan de Gestión de Carga Laboral Interna</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47">
            <w:pPr>
              <w:jc w:val="center"/>
              <w:rPr/>
            </w:pPr>
            <w:r w:rsidDel="00000000" w:rsidR="00000000" w:rsidRPr="00000000">
              <w:rPr>
                <w:b w:val="1"/>
                <w:bCs w:val="1"/>
                <w:sz w:val="20"/>
                <w:szCs w:val="20"/>
                <w:rtl w:val="0"/>
              </w:rPr>
              <w:t xml:space="preserve">R</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48">
            <w:pPr>
              <w:jc w:val="center"/>
              <w:rPr/>
            </w:pPr>
            <w:r w:rsidDel="00000000" w:rsidR="00000000" w:rsidRPr="00000000">
              <w:rPr>
                <w:b w:val="1"/>
                <w:bCs w:val="1"/>
                <w:sz w:val="20"/>
                <w:szCs w:val="20"/>
                <w:rtl w:val="0"/>
              </w:rPr>
              <w:t xml:space="preserve">C</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49">
            <w:pPr>
              <w:jc w:val="center"/>
              <w:rPr/>
            </w:pPr>
            <w:r w:rsidDel="00000000" w:rsidR="00000000" w:rsidRPr="00000000">
              <w:rPr>
                <w:b w:val="1"/>
                <w:bCs w:val="1"/>
                <w:sz w:val="20"/>
                <w:szCs w:val="20"/>
                <w:rtl w:val="0"/>
              </w:rPr>
              <w:t xml:space="preserve">I</w:t>
            </w:r>
            <w:r w:rsidDel="00000000" w:rsidR="00000000" w:rsidRPr="00000000">
              <w:rPr>
                <w:rtl w:val="0"/>
              </w:rPr>
            </w:r>
          </w:p>
        </w:tc>
        <w:tc>
          <w:tcPr>
            <w:shd w:fill="ffffff" w:val="clear"/>
            <w:tcMar>
              <w:top w:w="80.0" w:type="dxa"/>
              <w:left w:w="150.0" w:type="dxa"/>
              <w:bottom w:w="80.0" w:type="dxa"/>
              <w:right w:w="150.0" w:type="dxa"/>
            </w:tcMar>
          </w:tcPr>
          <w:p w:rsidR="00000000" w:rsidDel="00000000" w:rsidP="00000000" w:rsidRDefault="00000000" w:rsidRPr="00000000" w14:paraId="0000004A">
            <w:pPr>
              <w:jc w:val="center"/>
              <w:rPr/>
            </w:pPr>
            <w:r w:rsidDel="00000000" w:rsidR="00000000" w:rsidRPr="00000000">
              <w:rPr>
                <w:b w:val="1"/>
                <w:bCs w:val="1"/>
                <w:sz w:val="20"/>
                <w:szCs w:val="20"/>
                <w:rtl w:val="0"/>
              </w:rPr>
              <w:t xml:space="preserve">I</w:t>
            </w:r>
            <w:r w:rsidDel="00000000" w:rsidR="00000000" w:rsidRPr="00000000">
              <w:rPr>
                <w:rtl w:val="0"/>
              </w:rPr>
            </w:r>
          </w:p>
        </w:tc>
      </w:tr>
    </w:tbl>
    <w:p w:rsidR="00000000" w:rsidDel="00000000" w:rsidP="00000000" w:rsidRDefault="00000000" w:rsidRPr="00000000" w14:paraId="0000004B">
      <w:pPr>
        <w:spacing w:before="24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color w:val="1f4e79"/>
          <w:rtl w:val="0"/>
        </w:rPr>
        <w:t xml:space="preserve">2.4 Indicadores de Probabilidad e Impacto</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La evaluación cualitativa en NovaMining S.A. utiliza matrices paramétricas estandarizadas en escalas de 1 a 5 para probabilidad e impacto:</w:t>
      </w:r>
    </w:p>
    <w:p w:rsidR="00000000" w:rsidDel="00000000" w:rsidP="00000000" w:rsidRDefault="00000000" w:rsidRPr="00000000" w14:paraId="0000004E">
      <w:pPr>
        <w:rPr/>
      </w:pPr>
      <w:r w:rsidDel="00000000" w:rsidR="00000000" w:rsidRPr="00000000">
        <w:rPr>
          <w:b w:val="1"/>
          <w:bCs w:val="1"/>
          <w:rtl w:val="0"/>
        </w:rPr>
        <w:t xml:space="preserve">Escala de Probabilidad:</w:t>
        <w:br w:type="textWrapping"/>
      </w:r>
      <w:r w:rsidDel="00000000" w:rsidR="00000000" w:rsidRPr="00000000">
        <w:rPr>
          <w:rtl w:val="0"/>
        </w:rPr>
        <w:t xml:space="preserve">• 1 (Muy Baja): Evento puramente teórico, sin precedentes históricos conocidos en la minera.</w:t>
        <w:br w:type="textWrapping"/>
        <w:t xml:space="preserve">• 2 (Baja): Baja ocurrencia, detectada rara vez en entornos tecnológicos controlados.</w:t>
        <w:br w:type="textWrapping"/>
        <w:t xml:space="preserve">• 3 (Media): Ocurrencia moderada, con al menos un registro en proyectos similares del año en curso.</w:t>
        <w:br w:type="textWrapping"/>
        <w:t xml:space="preserve">• 4 (Alta): Alta factibilidad de materialización debido a obsolescencias técnicas detectadas.</w:t>
        <w:br w:type="textWrapping"/>
        <w:t xml:space="preserve">• 5 (Muy Alta): Incidente inminente o ya materializado de forma activa (ej. ataque de intermediario de la semana 11).</w:t>
      </w:r>
    </w:p>
    <w:p w:rsidR="00000000" w:rsidDel="00000000" w:rsidP="00000000" w:rsidRDefault="00000000" w:rsidRPr="00000000" w14:paraId="0000004F">
      <w:pPr>
        <w:rPr/>
      </w:pPr>
      <w:r w:rsidDel="00000000" w:rsidR="00000000" w:rsidRPr="00000000">
        <w:rPr>
          <w:b w:val="1"/>
          <w:bCs w:val="1"/>
          <w:rtl w:val="0"/>
        </w:rPr>
        <w:t xml:space="preserve">Escala de Impacto:</w:t>
        <w:br w:type="textWrapping"/>
      </w:r>
      <w:r w:rsidDel="00000000" w:rsidR="00000000" w:rsidRPr="00000000">
        <w:rPr>
          <w:rtl w:val="0"/>
        </w:rPr>
        <w:t xml:space="preserve">• 1 (Muy Bajo): Retrasos menores medidos en horas; nulo impacto en presupuesto u operaciones.</w:t>
        <w:br w:type="textWrapping"/>
        <w:t xml:space="preserve">• 2 (Bajo): Compromete módulos periféricos; corregible sin detener flujos de producción.</w:t>
        <w:br w:type="textWrapping"/>
        <w:t xml:space="preserve">• 3 (Medio): Pérdida de visibilidad de datos temporales que obliga a reprocesos acotados de desarrollo.</w:t>
        <w:br w:type="textWrapping"/>
        <w:t xml:space="preserve">• 4 (Alto): Compromete la ventana de entrega del MVP o afecta la estabilidad emocional y salud laboral del equipo.</w:t>
        <w:br w:type="textWrapping"/>
        <w:t xml:space="preserve">• 5 (Muy Alto): Rechazo categórico del proyecto por Seguridad TI, o entrega de datos falsificados en SCADA afectando la seguridad operacional en faena.</w:t>
      </w:r>
    </w:p>
    <w:p w:rsidR="00000000" w:rsidDel="00000000" w:rsidP="00000000" w:rsidRDefault="00000000" w:rsidRPr="00000000" w14:paraId="00000050">
      <w:pPr>
        <w:pStyle w:val="Heading2"/>
        <w:rPr/>
      </w:pPr>
      <w:r w:rsidDel="00000000" w:rsidR="00000000" w:rsidRPr="00000000">
        <w:rPr>
          <w:color w:val="1f4e79"/>
          <w:rtl w:val="0"/>
        </w:rPr>
        <w:t xml:space="preserve">2.5 Acciones Basadas en el Nivel Cualitativo del Riesgo</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 base al puntaje total obtenido en la Matriz Cualitativa (Probabilidad × Impacto), se definen tres niveles obligatorios de respuesta corporativa: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Riesgos Críticos / Extremos (Puntuación 15 a 25):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Estrategias mandatorias de Mitigación o Eliminación Inmediata. Se faculta al Project Manager a pausar desarrollos no esenciales y activar de inmediato fondos financieros de contingencia. Ejemplo: Congelar entregas de MINERATEK Ltda. e implementar encriptación perimetral anti-MITM en el código IoT de forma prioritaria.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Riesgos Moderados / Medios (Puntuación 6 a 12):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Estrategias de Transferencia o Mitigación Programada. Se incorporan en la planificación ordinaria de la carta Gantt y se vigilan quincenalmente. Ejemplo: Creación de scripts controladores de excepciones para los datos ruidosos de la API SCADA.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Riesgos Bajos (Puntuación 1 a 5): </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Estrategia de Aceptación Pasiva. No se destinan recursos proactivos; las amenazas se archivan en el registro técnico para observación pasiva en comités mensuales.</w:t>
      </w:r>
    </w:p>
    <w:p w:rsidR="00000000" w:rsidDel="00000000" w:rsidP="00000000" w:rsidRDefault="00000000" w:rsidRPr="00000000" w14:paraId="00000055">
      <w:pPr>
        <w:pStyle w:val="Heading2"/>
        <w:rPr/>
      </w:pPr>
      <w:r w:rsidDel="00000000" w:rsidR="00000000" w:rsidRPr="00000000">
        <w:rPr>
          <w:color w:val="1f4e79"/>
          <w:rtl w:val="0"/>
        </w:rPr>
        <w:t xml:space="preserve">2.6 Análisis Cuantitativo de Riesgos</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color w:val="1f4e79"/>
          <w:rtl w:val="0"/>
        </w:rPr>
        <w:t xml:space="preserve">2.6.1 Análisis PERT para la Actividad Técnica Crítica</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Para calcular la duración realista de la tarea de mayor complejidad técnica: 'Integración, limpieza y estabilización de la API de datos del SCADA', se consolida el modelo matemático estadístico basado en las estimaciones del equipo técnico:</w:t>
        <w:br w:type="textWrapping"/>
        <w:t xml:space="preserve">• Duración Optimista (O): 10 días hábiles (si la API responde óptimamente sin ruido severo).</w:t>
        <w:br w:type="textWrapping"/>
        <w:t xml:space="preserve">• Duración Más Probable (M): 18 días hábiles (considerando los tiempos de comunicación estándares).</w:t>
        <w:br w:type="textWrapping"/>
        <w:t xml:space="preserve">• Duración Pesimista (P): 35 días hábiles (en caso de fallas estructurales que congelen las consultas analíticas).</w:t>
      </w:r>
    </w:p>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i w:val="1"/>
          <w:iCs w:val="1"/>
          <w:color w:val="1f4e79"/>
          <w:sz w:val="24"/>
          <w:szCs w:val="24"/>
          <w:rtl w:val="0"/>
        </w:rPr>
        <w:t xml:space="preserve">Te = (O + 4M + P) / 6</w:t>
        <w:br w:type="textWrapping"/>
        <w:t xml:space="preserve">Te = (10 + 4(18) + 35) / 6 = 117 / 6 = 19.5 días hábiles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análisis PERT demuestra estadísticamente que el cronograma formal debe registrar 19.5 días hábiles para esta actividad, evitando la subestimación temporal y protegiendo el avance del proyecto minero frente a retrasos involuntarios.</w:t>
      </w:r>
    </w:p>
    <w:p w:rsidR="00000000" w:rsidDel="00000000" w:rsidP="00000000" w:rsidRDefault="00000000" w:rsidRPr="00000000" w14:paraId="0000005A">
      <w:pPr>
        <w:pStyle w:val="Heading3"/>
        <w:rPr/>
      </w:pPr>
      <w:r w:rsidDel="00000000" w:rsidR="00000000" w:rsidRPr="00000000">
        <w:rPr>
          <w:color w:val="1f4e79"/>
          <w:rtl w:val="0"/>
        </w:rPr>
        <w:t xml:space="preserve">2.6.2 Árbol de Decisión para Escenarios Estratégicos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Debido al ultimátum de Seguridad TI, se evalúan tres rutas de acción frente a los problemas del proveedor externo mediante un esquema de árbol de decisión:</w:t>
        <w:br w:type="textWrapping"/>
        <w:t xml:space="preserve">1. Opción A: Exigir Corrección Contractual a MINERATEK Ltda. (70% Probabilidad de éxito técnico / 30% Probabilidad de retraso crítico con multas comerciales).</w:t>
        <w:br w:type="textWrapping"/>
        <w:t xml:space="preserve">2. Opción B: Desarrollar el Cifrado con Célula de Trabajo Interna (50% Probabilidad de éxito normativo total / 50% Probabilidad de colapso técnico por estrés y sobrecarga laboral severa de Carlos y Renato).</w:t>
        <w:br w:type="textWrapping"/>
        <w:t xml:space="preserve">3. Opción C: Término Anticipado y Búsqueda de Proveedor Certificado (100% Probabilidad de cumplimiento de seguridad, pero con un sobrecosto financiero directo y retraso estructural garantizado de 45 días en el inicio general).</w:t>
      </w:r>
    </w:p>
    <w:p w:rsidR="00000000" w:rsidDel="00000000" w:rsidP="00000000" w:rsidRDefault="00000000" w:rsidRPr="00000000" w14:paraId="0000005C">
      <w:pPr>
        <w:pStyle w:val="Heading3"/>
        <w:rPr/>
      </w:pPr>
      <w:r w:rsidDel="00000000" w:rsidR="00000000" w:rsidRPr="00000000">
        <w:rPr>
          <w:color w:val="1f4e79"/>
          <w:rtl w:val="0"/>
        </w:rPr>
        <w:t xml:space="preserve">2.6.3 Resultados de la Simulación de Monte Carlo</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Utilizando los datos estadísticos y probabilísticos recopilados en las 1,000 iteraciones computacionales de la simulación financiera para el fondo de contingencias del Proyecto TITAN, se desprenden los siguientes resultados empíricos fundamentales:</w:t>
        <w:br w:type="textWrapping"/>
        <w:t xml:space="preserve">• Tendencia Central y Costo Esperado: El valor medio arrojado por el modelo estocástico se sitúa exactamente en 8,985 millones de unidades monetarias, confirmando que bajo condiciones normales de incertidumbre, la mayoría de los escenarios convergen en este punto de equilibrio presupuestario.</w:t>
        <w:br w:type="textWrapping"/>
        <w:t xml:space="preserve">• Rango de Variación del Riesgo: El histograma de simulación registró un límite mínimo de 3 millones y un techo máximo severo de 15 millones ante la ocurrencia simultánea de fallas técnicas de red y ciberataques.</w:t>
        <w:br w:type="textWrapping"/>
        <w:t xml:space="preserve">• Comportamiento Acumulado: El 80% de la muestra acumulada estabiliza sus costos bajo el umbral crítico de los 11.5 millones, garantizando una alta certidumbre para la toma de decisiones gerenciales.</w:t>
        <w:br w:type="textWrapping"/>
        <w:t xml:space="preserve">• Análisis de Distribución: La curva de frecuencia evidenció una concentración máxima en el bin de 9.96 millones (con 160 registros estables), mostrando un crecimiento constante simétrico seguido de una caída abrupta y controlada pasada la marca de los 12 millones, lo que ratifica una distribución financiera balanceada, robusta y libre de asimetrías extremas imprevistas.</w:t>
      </w:r>
    </w:p>
    <w:p w:rsidR="00000000" w:rsidDel="00000000" w:rsidP="00000000" w:rsidRDefault="00000000" w:rsidRPr="00000000" w14:paraId="0000005E">
      <w:pPr>
        <w:pStyle w:val="Heading2"/>
        <w:rPr/>
      </w:pPr>
      <w:r w:rsidDel="00000000" w:rsidR="00000000" w:rsidRPr="00000000">
        <w:rPr>
          <w:rtl w:val="0"/>
        </w:rPr>
        <w:t xml:space="preserve">2.6 Árbol de decisiones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0" distT="0" distL="0" distR="0">
            <wp:extent cx="4972744" cy="392484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2744" cy="392484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color w:val="1f4e79"/>
          <w:sz w:val="32"/>
          <w:szCs w:val="32"/>
          <w:rtl w:val="0"/>
        </w:rPr>
        <w:t xml:space="preserve">3. CONCLUSIONES Y RECOMENDACIONES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El Plan de Gestión de Riesgos demuestra de forma concluyente que el Proyecto TITAN es viable y se encuentra respaldado por una sólida estructura técnica y estadística. La alta densidad de riesgos en el espectro tecnológico (63%) exige de forma obligatoria que Carlos Viera y Renato Reinoso focalicen sus esfuerzos inmediatos del primer mes en la formalización de los objetivos institucionales a través del Acta de Constitución y el robustecimiento de los perímetros informáticos de los sensores IoT para erradicar por completo amenazas críticas de interceptación de datos como el ataque MITM.</w:t>
        <w:br w:type="textWrapping"/>
        <w:t xml:space="preserve">Finalmente, las métricas del análisis cuantitativo de Monte Carlo (costo esperado de 8,985 millones y un 80% de certeza de mantenerse bajo los 11.5 millones) otorgan el piso de confianza y la justificación técnica necesaria ante los comités de finanzas y gerencia general para garantizar la continuidad y el éxito operacional de TITAN dentro de NovaMining S.A.</w:t>
      </w:r>
    </w:p>
    <w:p w:rsidR="00000000" w:rsidDel="00000000" w:rsidP="00000000" w:rsidRDefault="00000000" w:rsidRPr="00000000" w14:paraId="00000064">
      <w:pPr>
        <w:pStyle w:val="Heading1"/>
        <w:rPr/>
      </w:pPr>
      <w:r w:rsidDel="00000000" w:rsidR="00000000" w:rsidRPr="00000000">
        <w:rPr>
          <w:color w:val="1f4e79"/>
          <w:sz w:val="32"/>
          <w:szCs w:val="32"/>
          <w:rtl w:val="0"/>
        </w:rPr>
        <w:t xml:space="preserve">4. BIBLIOGRAFÍA (FORMATO APA)</w:t>
      </w:r>
      <w:r w:rsidDel="00000000" w:rsidR="00000000" w:rsidRPr="00000000">
        <w:rPr>
          <w:rtl w:val="0"/>
        </w:rPr>
      </w:r>
    </w:p>
    <w:p w:rsidR="00000000" w:rsidDel="00000000" w:rsidP="00000000" w:rsidRDefault="00000000" w:rsidRPr="00000000" w14:paraId="00000065">
      <w:pPr>
        <w:spacing w:after="80" w:lineRule="auto"/>
        <w:ind w:left="720" w:firstLine="0"/>
        <w:rPr/>
      </w:pPr>
      <w:r w:rsidDel="00000000" w:rsidR="00000000" w:rsidRPr="00000000">
        <w:rPr>
          <w:rtl w:val="0"/>
        </w:rPr>
        <w:t xml:space="preserve">Hillson, D. (2014). Managing Risk in Projects. Routledge.</w:t>
      </w:r>
    </w:p>
    <w:p w:rsidR="00000000" w:rsidDel="00000000" w:rsidP="00000000" w:rsidRDefault="00000000" w:rsidRPr="00000000" w14:paraId="00000066">
      <w:pPr>
        <w:spacing w:after="80" w:lineRule="auto"/>
        <w:ind w:left="720" w:firstLine="0"/>
        <w:rPr/>
      </w:pPr>
      <w:r w:rsidDel="00000000" w:rsidR="00000000" w:rsidRPr="00000000">
        <w:rPr>
          <w:rtl w:val="0"/>
        </w:rPr>
        <w:t xml:space="preserve">Project Management Institute. (2017). A Guide to the Project Management Body of Knowledge (PMBOK Guide) (6th ed.). Project Management Institute.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2626"/>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LcOor+AtbfQq2Cyi222xNgR3pQ==">CgMxLjA4AHIhMWNic0tqYzNkd0FfN1FZRm9GVzdKMV9PRzdqVTFlb0tm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