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40" w:before="0"/>
        <w:jc w:val="center"/>
      </w:pPr>
      <w:r>
        <w:rPr>
          <w:rFonts w:ascii="Arial" w:cs="Arial" w:eastAsia="Arial" w:hAnsi="Arial"/>
          <w:b/>
          <w:bCs/>
          <w:color w:val="1B3A6B"/>
          <w:sz w:val="44"/>
          <w:szCs w:val="44"/>
        </w:rPr>
        <w:t xml:space="preserve">PLAN DE GESTIÓN DE RIESGOS</w:t>
      </w:r>
    </w:p>
    <w:p>
      <w:pPr>
        <w:spacing w:after="40" w:before="0"/>
        <w:jc w:val="center"/>
      </w:pPr>
      <w:r>
        <w:rPr>
          <w:rFonts w:ascii="Arial" w:cs="Arial" w:eastAsia="Arial" w:hAnsi="Arial"/>
          <w:b/>
          <w:bCs/>
          <w:color w:val="E8801A"/>
          <w:sz w:val="52"/>
          <w:szCs w:val="52"/>
        </w:rPr>
        <w:t xml:space="preserve">PROYECTO TITAN</w:t>
      </w:r>
    </w:p>
    <w:p>
      <w:pPr>
        <w:pBdr>
          <w:bottom w:val="single" w:color="2E6DA4" w:sz="12" w:space="6"/>
        </w:pBdr>
        <w:spacing w:after="200" w:before="0"/>
        <w:jc w:val="center"/>
      </w:pPr>
      <w:r>
        <w:rPr>
          <w:rFonts w:ascii="Arial" w:cs="Arial" w:eastAsia="Arial" w:hAnsi="Arial"/>
          <w:i/>
          <w:iCs/>
          <w:color w:val="2E6DA4"/>
          <w:sz w:val="26"/>
          <w:szCs w:val="26"/>
        </w:rPr>
        <w:t xml:space="preserve">Informe de Mitigación, Control y Cierre de Riesgos (Informe 3)</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2E6DA4"/>
                <w:sz w:val="22"/>
                <w:szCs w:val="22"/>
              </w:rPr>
              <w:t xml:space="preserve">Cliente:</w:t>
            </w:r>
          </w:p>
        </w:tc>
        <w:tc>
          <w:tcPr>
            <w:tcW w:type="dxa" w:w="624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NovaMining S.A.</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2E6DA4"/>
                <w:sz w:val="22"/>
                <w:szCs w:val="22"/>
              </w:rPr>
              <w:t xml:space="preserve">Proveedor:</w:t>
            </w:r>
          </w:p>
        </w:tc>
        <w:tc>
          <w:tcPr>
            <w:tcW w:type="dxa" w:w="624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MINERATEK Ltda.</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2E6DA4"/>
                <w:sz w:val="22"/>
                <w:szCs w:val="22"/>
              </w:rPr>
              <w:t xml:space="preserve">Integrantes:</w:t>
            </w:r>
          </w:p>
        </w:tc>
        <w:tc>
          <w:tcPr>
            <w:tcW w:type="dxa" w:w="624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Carlos Viera, Renato Reinoso</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2E6DA4"/>
                <w:sz w:val="22"/>
                <w:szCs w:val="22"/>
              </w:rPr>
              <w:t xml:space="preserve">Asignatura:</w:t>
            </w:r>
          </w:p>
        </w:tc>
        <w:tc>
          <w:tcPr>
            <w:tcW w:type="dxa" w:w="624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Gestión de Riesgos (GPY7111)</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2E6DA4"/>
                <w:sz w:val="22"/>
                <w:szCs w:val="22"/>
              </w:rPr>
              <w:t xml:space="preserve">Fecha:</w:t>
            </w:r>
          </w:p>
        </w:tc>
        <w:tc>
          <w:tcPr>
            <w:tcW w:type="dxa" w:w="624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Junio, 2026</w:t>
            </w:r>
          </w:p>
        </w:tc>
      </w:tr>
    </w:tbl>
    <w:p>
      <w:r>
        <w:br w:type="page"/>
      </w:r>
    </w:p>
    <w:p>
      <w:pPr>
        <w:pStyle w:val="Heading1"/>
        <w:pBdr>
          <w:bottom w:val="single" w:color="2E6DA4" w:sz="8" w:space="4"/>
        </w:pBdr>
        <w:spacing w:after="160" w:before="320"/>
      </w:pPr>
      <w:r>
        <w:rPr>
          <w:rFonts w:ascii="Arial" w:cs="Arial" w:eastAsia="Arial" w:hAnsi="Arial"/>
          <w:b/>
          <w:bCs/>
          <w:color w:val="1B3A6B"/>
          <w:sz w:val="32"/>
          <w:szCs w:val="32"/>
        </w:rPr>
        <w:t xml:space="preserve">ÍNDICE GENERAL</w:t>
      </w:r>
    </w:p>
    <w:p>
      <w:pPr>
        <w:spacing w:after="40" w:before="80"/>
      </w:pPr>
      <w:r>
        <w:rPr>
          <w:rFonts w:ascii="Arial" w:cs="Arial" w:eastAsia="Arial" w:hAnsi="Arial"/>
          <w:sz w:val="22"/>
          <w:szCs w:val="22"/>
        </w:rPr>
        <w:t xml:space="preserve">1. RESUMEN EJECUTIVO</w:t>
      </w:r>
    </w:p>
    <w:p>
      <w:pPr>
        <w:spacing w:after="40" w:before="40"/>
      </w:pPr>
      <w:r>
        <w:rPr>
          <w:rFonts w:ascii="Arial" w:cs="Arial" w:eastAsia="Arial" w:hAnsi="Arial"/>
          <w:sz w:val="22"/>
          <w:szCs w:val="22"/>
        </w:rPr>
        <w:t xml:space="preserve">2. DESARROLLO DEL PLAN DE MITIGACIÓN</w:t>
      </w:r>
    </w:p>
    <w:p>
      <w:pPr>
        <w:spacing w:after="40" w:before="40"/>
        <w:ind w:left="360"/>
      </w:pPr>
      <w:r>
        <w:rPr>
          <w:rFonts w:ascii="Arial" w:cs="Arial" w:eastAsia="Arial" w:hAnsi="Arial"/>
          <w:sz w:val="22"/>
          <w:szCs w:val="22"/>
        </w:rPr>
        <w:t xml:space="preserve">2.1 Matriz RACI — Plan de Mitigación</w:t>
      </w:r>
    </w:p>
    <w:p>
      <w:pPr>
        <w:spacing w:after="40" w:before="40"/>
        <w:ind w:left="360"/>
      </w:pPr>
      <w:r>
        <w:rPr>
          <w:rFonts w:ascii="Arial" w:cs="Arial" w:eastAsia="Arial" w:hAnsi="Arial"/>
          <w:sz w:val="22"/>
          <w:szCs w:val="22"/>
        </w:rPr>
        <w:t xml:space="preserve">2.2 Panel de Indicadores Clave de Riesgo (KRI)</w:t>
      </w:r>
    </w:p>
    <w:p>
      <w:pPr>
        <w:spacing w:after="40" w:before="40"/>
        <w:ind w:left="360"/>
      </w:pPr>
      <w:r>
        <w:rPr>
          <w:rFonts w:ascii="Arial" w:cs="Arial" w:eastAsia="Arial" w:hAnsi="Arial"/>
          <w:sz w:val="22"/>
          <w:szCs w:val="22"/>
        </w:rPr>
        <w:t xml:space="preserve">2.3 Análisis y Uso de Reservas de Contingencia</w:t>
      </w:r>
    </w:p>
    <w:p>
      <w:pPr>
        <w:spacing w:after="40" w:before="40"/>
        <w:ind w:left="360"/>
      </w:pPr>
      <w:r>
        <w:rPr>
          <w:rFonts w:ascii="Arial" w:cs="Arial" w:eastAsia="Arial" w:hAnsi="Arial"/>
          <w:sz w:val="22"/>
          <w:szCs w:val="22"/>
        </w:rPr>
        <w:t xml:space="preserve">2.4 Estrategias de Respuesta y Control de Riesgos Activos</w:t>
      </w:r>
    </w:p>
    <w:p>
      <w:pPr>
        <w:spacing w:after="40" w:before="40"/>
        <w:ind w:left="360"/>
      </w:pPr>
      <w:r>
        <w:rPr>
          <w:rFonts w:ascii="Arial" w:cs="Arial" w:eastAsia="Arial" w:hAnsi="Arial"/>
          <w:sz w:val="22"/>
          <w:szCs w:val="22"/>
        </w:rPr>
        <w:t xml:space="preserve">2.5 Actualización del Estado de Riesgos Prioritarios</w:t>
      </w:r>
    </w:p>
    <w:p>
      <w:pPr>
        <w:spacing w:after="40" w:before="40"/>
        <w:ind w:left="360"/>
      </w:pPr>
      <w:r>
        <w:rPr>
          <w:rFonts w:ascii="Arial" w:cs="Arial" w:eastAsia="Arial" w:hAnsi="Arial"/>
          <w:sz w:val="22"/>
          <w:szCs w:val="22"/>
        </w:rPr>
        <w:t xml:space="preserve">2.6 Lecciones Aprendidas y Transferencia de Conocimiento</w:t>
      </w:r>
    </w:p>
    <w:p>
      <w:pPr>
        <w:spacing w:after="40" w:before="40"/>
      </w:pPr>
      <w:r>
        <w:rPr>
          <w:rFonts w:ascii="Arial" w:cs="Arial" w:eastAsia="Arial" w:hAnsi="Arial"/>
          <w:sz w:val="22"/>
          <w:szCs w:val="22"/>
        </w:rPr>
        <w:t xml:space="preserve">3. CONCLUSIONES Y RECOMENDACIONES FINALES</w:t>
      </w:r>
    </w:p>
    <w:p>
      <w:pPr>
        <w:spacing w:after="40" w:before="40"/>
      </w:pPr>
      <w:r>
        <w:rPr>
          <w:rFonts w:ascii="Arial" w:cs="Arial" w:eastAsia="Arial" w:hAnsi="Arial"/>
          <w:sz w:val="22"/>
          <w:szCs w:val="22"/>
        </w:rPr>
        <w:t xml:space="preserve">4. BIBLIOGRAFÍA (FORMATO APA)</w:t>
      </w:r>
    </w:p>
    <w:p>
      <w:r>
        <w:br w:type="page"/>
      </w:r>
    </w:p>
    <w:p>
      <w:pPr>
        <w:pStyle w:val="Heading1"/>
        <w:pBdr>
          <w:bottom w:val="single" w:color="2E6DA4" w:sz="8" w:space="4"/>
        </w:pBdr>
        <w:spacing w:after="160" w:before="320"/>
      </w:pPr>
      <w:r>
        <w:rPr>
          <w:rFonts w:ascii="Arial" w:cs="Arial" w:eastAsia="Arial" w:hAnsi="Arial"/>
          <w:b/>
          <w:bCs/>
          <w:color w:val="1B3A6B"/>
          <w:sz w:val="32"/>
          <w:szCs w:val="32"/>
        </w:rPr>
        <w:t xml:space="preserve">1. RESUMEN EJECUTIVO</w:t>
      </w:r>
    </w:p>
    <w:p>
      <w:pPr>
        <w:spacing w:after="80" w:before="60"/>
        <w:jc w:val="both"/>
      </w:pPr>
      <w:r>
        <w:rPr>
          <w:rFonts w:ascii="Arial" w:cs="Arial" w:eastAsia="Arial" w:hAnsi="Arial"/>
          <w:sz w:val="22"/>
          <w:szCs w:val="22"/>
        </w:rPr>
        <w:t xml:space="preserve">El presente documento constituye el tercer y último entregable formal del Plan de Gestión de Riesgos del Proyecto TITAN de NovaMining S.A., cuyo objetivo central ha sido la integración segura de sensores IoT con la infraestructura SCADA preexistente para habilitar monitoreo predictivo en tiempo real en las faenas mineras.</w:t>
      </w:r>
    </w:p>
    <w:p>
      <w:pPr>
        <w:spacing w:after="0" w:before="60"/>
      </w:pPr>
      <w:r>
        <w:t xml:space="preserve"/>
      </w:r>
    </w:p>
    <w:p>
      <w:pPr>
        <w:spacing w:after="80" w:before="60"/>
        <w:jc w:val="both"/>
      </w:pPr>
      <w:r>
        <w:rPr>
          <w:rFonts w:ascii="Arial" w:cs="Arial" w:eastAsia="Arial" w:hAnsi="Arial"/>
          <w:sz w:val="22"/>
          <w:szCs w:val="22"/>
        </w:rPr>
        <w:t xml:space="preserve">Los informes anteriores establecieron la base diagnóstica (identificación de 100 riesgos con predominio tecnológico del 63%) y la estrategia cuantitativa de mitigación (análisis PERT, Árbol de Decisión y Simulación Monte Carlo con 1.000 iteraciones). Este tercer informe cierra el ciclo de gestión documentando la ejecución efectiva de los planes de mitigación, el control de indicadores KRI, el uso de la reserva de contingencia de $9.054.000 CLP, la evaluación de la eficacia de las acciones implementadas y la consolidación de las lecciones aprendidas para la organización.</w:t>
      </w:r>
    </w:p>
    <w:p>
      <w:pPr>
        <w:spacing w:after="0" w:before="60"/>
      </w:pPr>
      <w:r>
        <w:t xml:space="preserve"/>
      </w:r>
    </w:p>
    <w:p>
      <w:pPr>
        <w:spacing w:after="80" w:before="60"/>
        <w:jc w:val="both"/>
      </w:pPr>
      <w:r>
        <w:rPr>
          <w:rFonts w:ascii="Arial" w:cs="Arial" w:eastAsia="Arial" w:hAnsi="Arial"/>
          <w:sz w:val="22"/>
          <w:szCs w:val="22"/>
        </w:rPr>
        <w:t xml:space="preserve">Los resultados del ciclo de control confirman que las medidas de mitigación ejecutadas por el equipo —lideradas por Carlos Viera en el eje de gobernanza y por Renato Reinoso en el eje técnico— han logrado neutralizar los riesgos de mayor severidad sin exceder el fondo de contingencias proyectado, habilitando a NovaMining S.A. para avanzar hacia la fase de operación sostenida del sistema IoT-SCADA con madurez y trazabilidad documentada.</w:t>
      </w:r>
    </w:p>
    <w:p>
      <w:r>
        <w:br w:type="page"/>
      </w:r>
    </w:p>
    <w:p>
      <w:pPr>
        <w:pStyle w:val="Heading1"/>
        <w:pBdr>
          <w:bottom w:val="single" w:color="2E6DA4" w:sz="8" w:space="4"/>
        </w:pBdr>
        <w:spacing w:after="160" w:before="320"/>
      </w:pPr>
      <w:r>
        <w:rPr>
          <w:rFonts w:ascii="Arial" w:cs="Arial" w:eastAsia="Arial" w:hAnsi="Arial"/>
          <w:b/>
          <w:bCs/>
          <w:color w:val="1B3A6B"/>
          <w:sz w:val="32"/>
          <w:szCs w:val="32"/>
        </w:rPr>
        <w:t xml:space="preserve">2. DESARROLLO DEL PLAN DE MITIGACIÓN</w:t>
      </w:r>
    </w:p>
    <w:p>
      <w:pPr>
        <w:pStyle w:val="Heading2"/>
        <w:spacing w:after="120" w:before="240"/>
      </w:pPr>
      <w:r>
        <w:rPr>
          <w:rFonts w:ascii="Arial" w:cs="Arial" w:eastAsia="Arial" w:hAnsi="Arial"/>
          <w:b/>
          <w:bCs/>
          <w:color w:val="2E6DA4"/>
          <w:sz w:val="26"/>
          <w:szCs w:val="26"/>
        </w:rPr>
        <w:t xml:space="preserve">2.1 Matriz RACI — Plan de Mitigación</w:t>
      </w:r>
    </w:p>
    <w:p>
      <w:pPr>
        <w:spacing w:after="80" w:before="60"/>
        <w:jc w:val="both"/>
      </w:pPr>
      <w:r>
        <w:rPr>
          <w:rFonts w:ascii="Arial" w:cs="Arial" w:eastAsia="Arial" w:hAnsi="Arial"/>
          <w:sz w:val="22"/>
          <w:szCs w:val="22"/>
        </w:rPr>
        <w:t xml:space="preserve">Conforme al diseño de gobernanza establecido en el Informe 2, la Matriz RACI siguiente documenta la asignación de responsabilidades para cada actividad preventiva crítica ejecutada durante el plan de mitigación del Proyecto TITAN. Esta versión consolida las responsabilidades ampliadas, incorporando la participación formal de MINERATEK Ltda. como proveedor y de NovaMining S.A. como entidad aprobadora estratégica.</w:t>
      </w:r>
    </w:p>
    <w:p>
      <w:pPr>
        <w:spacing w:after="0" w:before="80"/>
      </w:pPr>
      <w:r>
        <w:t xml:space="preserve"/>
      </w:r>
    </w:p>
    <w:p>
      <w:pPr>
        <w:spacing w:after="80" w:before="60"/>
        <w:jc w:val="both"/>
      </w:pPr>
      <w:r>
        <w:rPr>
          <w:rFonts w:ascii="Arial" w:cs="Arial" w:eastAsia="Arial" w:hAnsi="Arial"/>
          <w:b/>
          <w:bCs/>
          <w:color w:val="2E6DA4"/>
          <w:sz w:val="22"/>
          <w:szCs w:val="22"/>
        </w:rPr>
        <w:t xml:space="preserve">A = Accountable (Aprobador) | R = Responsible (Ejecutor) | C = Consulted (Consultado) | I = Informed (Informado)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60"/>
        <w:gridCol w:w="1260"/>
        <w:gridCol w:w="1740"/>
        <w:gridCol w:w="1740"/>
      </w:tblGrid>
      <w:tr>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Riesgo / Actividad Preventiva</w:t>
            </w:r>
          </w:p>
        </w:tc>
        <w:tc>
          <w:tcPr>
            <w:tcW w:type="dxa" w:w="1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Carlos Viera</w:t>
            </w:r>
          </w:p>
        </w:tc>
        <w:tc>
          <w:tcPr>
            <w:tcW w:type="dxa" w:w="1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Renato Reinoso</w:t>
            </w:r>
          </w:p>
        </w:tc>
        <w:tc>
          <w:tcPr>
            <w:tcW w:type="dxa" w:w="17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NovaMining S.A.</w:t>
            </w:r>
          </w:p>
        </w:tc>
        <w:tc>
          <w:tcPr>
            <w:tcW w:type="dxa" w:w="17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MINERATEK Ltda.</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 Ciberseguridad y MFA en red IoT</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A</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R</w:t>
            </w:r>
          </w:p>
        </w:tc>
        <w:tc>
          <w:tcPr>
            <w:tcW w:type="dxa" w:w="17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C</w:t>
            </w:r>
          </w:p>
        </w:tc>
        <w:tc>
          <w:tcPr>
            <w:tcW w:type="dxa" w:w="17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I</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 Backups Automáticos de Telemetría</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A</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R</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C</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I</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 Monitoreo 24/7 de Red SCADA</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A</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R</w:t>
            </w:r>
          </w:p>
        </w:tc>
        <w:tc>
          <w:tcPr>
            <w:tcW w:type="dxa" w:w="17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R</w:t>
            </w:r>
          </w:p>
        </w:tc>
        <w:tc>
          <w:tcPr>
            <w:tcW w:type="dxa" w:w="17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I</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4. Auditoría Legal y Normativa Externa</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C</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A</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I</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 Plan de Continuidad Operacional</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R</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A</w:t>
            </w:r>
          </w:p>
        </w:tc>
        <w:tc>
          <w:tcPr>
            <w:tcW w:type="dxa" w:w="17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I</w:t>
            </w:r>
          </w:p>
        </w:tc>
        <w:tc>
          <w:tcPr>
            <w:tcW w:type="dxa" w:w="17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C</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6. Recuperación ante Desastres TI</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A</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R</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C</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C</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7. Optimización de Servidores IoT</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C</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A</w:t>
            </w:r>
          </w:p>
        </w:tc>
        <w:tc>
          <w:tcPr>
            <w:tcW w:type="dxa" w:w="17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C</w:t>
            </w:r>
          </w:p>
        </w:tc>
        <w:tc>
          <w:tcPr>
            <w:tcW w:type="dxa" w:w="17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R</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8. Capacitación a Usuarios de Planta</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A</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R</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A</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I</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9. Evaluación de Proveedores Externos</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R</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A</w:t>
            </w:r>
          </w:p>
        </w:tc>
        <w:tc>
          <w:tcPr>
            <w:tcW w:type="dxa" w:w="17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A</w:t>
            </w:r>
          </w:p>
        </w:tc>
        <w:tc>
          <w:tcPr>
            <w:tcW w:type="dxa" w:w="17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I</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10. Mejora de Procesos Operativos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C</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R</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A</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I</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11. Monitoreo de Incidentes Menores</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A</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R</w:t>
            </w:r>
          </w:p>
        </w:tc>
        <w:tc>
          <w:tcPr>
            <w:tcW w:type="dxa" w:w="17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C</w:t>
            </w:r>
          </w:p>
        </w:tc>
        <w:tc>
          <w:tcPr>
            <w:tcW w:type="dxa" w:w="17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C</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12. Evaluación Final y Cierre del Plan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R</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A</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C</w:t>
            </w:r>
          </w:p>
        </w:tc>
      </w:tr>
    </w:tbl>
    <w:p>
      <w:pPr>
        <w:spacing w:after="0" w:before="80"/>
      </w:pPr>
      <w:r>
        <w:t xml:space="preserve"/>
      </w:r>
    </w:p>
    <w:p>
      <w:pPr>
        <w:spacing w:after="80" w:before="60"/>
        <w:jc w:val="both"/>
      </w:pPr>
      <w:r>
        <w:rPr>
          <w:rFonts w:ascii="Arial" w:cs="Arial" w:eastAsia="Arial" w:hAnsi="Arial"/>
          <w:sz w:val="22"/>
          <w:szCs w:val="22"/>
        </w:rPr>
        <w:t xml:space="preserve">La formalización de esta Matriz RACI permitió al equipo eliminar ambigüedades de responsabilidad que en el diagnóstico inicial (Informe 1) contribuían al estrés laboral y a la desalineación de expectativas con la gerencia. La incorporación de MINERATEK Ltda. como actor con roles explícitos de Consulted y Responsible en áreas técnicas clave fue un hito de gobernanza que redujo los tiempos de respuesta ante incidentes de seguridad.</w:t>
      </w:r>
    </w:p>
    <w:p>
      <w:r>
        <w:br w:type="page"/>
      </w:r>
    </w:p>
    <w:p>
      <w:pPr>
        <w:pStyle w:val="Heading2"/>
        <w:spacing w:after="120" w:before="240"/>
      </w:pPr>
      <w:r>
        <w:rPr>
          <w:rFonts w:ascii="Arial" w:cs="Arial" w:eastAsia="Arial" w:hAnsi="Arial"/>
          <w:b/>
          <w:bCs/>
          <w:color w:val="2E6DA4"/>
          <w:sz w:val="26"/>
          <w:szCs w:val="26"/>
        </w:rPr>
        <w:t xml:space="preserve">2.2 Panel de Indicadores Clave de Riesgo (KRI)</w:t>
      </w:r>
    </w:p>
    <w:p>
      <w:pPr>
        <w:spacing w:after="80" w:before="60"/>
        <w:jc w:val="both"/>
      </w:pPr>
      <w:r>
        <w:rPr>
          <w:rFonts w:ascii="Arial" w:cs="Arial" w:eastAsia="Arial" w:hAnsi="Arial"/>
          <w:sz w:val="22"/>
          <w:szCs w:val="22"/>
        </w:rPr>
        <w:t xml:space="preserve">El Panel de Indicadores Clave de Riesgo (KRI) constituye el instrumento de control operacional que permite al equipo de gestión detectar señales de alerta tempranas antes de que los riesgos se materialicen en pérdidas económicas o fallas operacionales. Cada KRI fue definido a partir de los riesgos críticos identificados en el Informe 1 y calibrado con los umbrales estadísticos derivados de la Simulación Monte Carlo del Informe 2.</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240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Riesgo Monitoreado</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Indicador Clave (KRI)</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Umbrales de Control (SLA)</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Acción Preventiva Activada</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Ataque MITM (IoT)</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Intentos fallidos de autenticación (X.509)</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NORMAL: 0 | PREV: 1–2 | CRIT: &gt; 2</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Aislar la pasarela y revocar llaves de sesión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Cifrado Deficiente (MINERATEK)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 de módulos sin cifrado estándar validado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NORMAL: 0% | PREV: 1–10% | CRIT: &gt; 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Congelar desarrollo y abrir rama de revisión</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API SCADA Inestable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Latencia media de ingesta SCADA (ms)</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NORMAL: &lt; 200 ms | PREV: 200–500 ms | CRIT: &gt; 500 ms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Activar búfer asíncrono y notificar a MINERATEK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Falta de Gobernanza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Modificaciones sin acta de aprobación formal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NORMAL: 0 | PREV: 1 | CRIT: ≥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Retener pago de hito contractual</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Sobrecarga Laboral del Equipo</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Horas extras semanales por integrante (hrs)</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NORMAL: &lt; 5 | PREV: 5–10 | CRIT: &gt; 10</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Reasignar tareas y elevar alerta a patrocinador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Falla de Hardware IoT en Faena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Sensores inactivos / Total sensores desplegados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NORMAL: &lt; 2% | PREV: 2–5% | CRIT: &gt;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Activar kit de reemplazo y notificar a proveedor</w:t>
            </w:r>
          </w:p>
        </w:tc>
      </w:tr>
    </w:tbl>
    <w:p>
      <w:pPr>
        <w:spacing w:after="0" w:before="80"/>
      </w:pPr>
      <w:r>
        <w:t xml:space="preserve"/>
      </w:r>
    </w:p>
    <w:p>
      <w:pPr>
        <w:spacing w:after="80" w:before="60"/>
        <w:jc w:val="both"/>
      </w:pPr>
      <w:r>
        <w:rPr>
          <w:rFonts w:ascii="Arial" w:cs="Arial" w:eastAsia="Arial" w:hAnsi="Arial"/>
          <w:sz w:val="22"/>
          <w:szCs w:val="22"/>
        </w:rPr>
        <w:t xml:space="preserve">Durante el período de control del Proyecto TITAN, los KRI de mayor activación fueron el indicador de autenticación fallida (señal PREV activada en la semana 11 coincidiendo con el ataque MITM documentado) y el indicador de latencia SCADA (señal PREV mantenida durante 3 semanas hasta la implementación del búfer asíncrono). Ningún indicador escaló al estado CRIT de forma persistente gracias a las acciones preventivas ejecutadas oportunamente.</w:t>
      </w:r>
    </w:p>
    <w:p>
      <w:r>
        <w:br w:type="page"/>
      </w:r>
    </w:p>
    <w:p>
      <w:pPr>
        <w:pStyle w:val="Heading2"/>
        <w:spacing w:after="120" w:before="240"/>
      </w:pPr>
      <w:r>
        <w:rPr>
          <w:rFonts w:ascii="Arial" w:cs="Arial" w:eastAsia="Arial" w:hAnsi="Arial"/>
          <w:b/>
          <w:bCs/>
          <w:color w:val="2E6DA4"/>
          <w:sz w:val="26"/>
          <w:szCs w:val="26"/>
        </w:rPr>
        <w:t xml:space="preserve">2.3 Análisis y Uso de Reservas de Contingencia</w:t>
      </w:r>
    </w:p>
    <w:p>
      <w:pPr>
        <w:spacing w:after="80" w:before="60"/>
        <w:jc w:val="both"/>
      </w:pPr>
      <w:r>
        <w:rPr>
          <w:rFonts w:ascii="Arial" w:cs="Arial" w:eastAsia="Arial" w:hAnsi="Arial"/>
          <w:sz w:val="22"/>
          <w:szCs w:val="22"/>
        </w:rPr>
        <w:t xml:space="preserve">La reserva de contingencia del Proyecto TITAN fue dimensionada matemáticamente mediante el modelo de Simulación Monte Carlo con 1.000 iteraciones computacionales, cuyo valor medio arrojó un costo esperado de $8.985.000 CLP con una desviación estándar de $2.365.730 CLP. La reserva formal aprobada para la ejecución del plan ascendió a $9.054.000 CLP, cifra que representa el punto de equilibrio presupuestario con un margen de seguridad superior al percentil 50 del modelo estocástico.</w:t>
      </w:r>
    </w:p>
    <w:p>
      <w:pPr>
        <w:spacing w:after="0" w:before="80"/>
      </w:pPr>
      <w:r>
        <w:t xml:space="preserve"/>
      </w:r>
    </w:p>
    <w:p>
      <w:pPr>
        <w:spacing w:after="80" w:before="200"/>
      </w:pPr>
      <w:r>
        <w:rPr>
          <w:rFonts w:ascii="Arial" w:cs="Arial" w:eastAsia="Arial" w:hAnsi="Arial"/>
          <w:b/>
          <w:bCs/>
          <w:color w:val="1B3A6B"/>
          <w:sz w:val="22"/>
          <w:szCs w:val="22"/>
        </w:rPr>
        <w:t xml:space="preserve">Resumen Estadístico de la Simulación Monte Carlo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Indicador Estadístico</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Valor (CLP)</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Costo Esperado (Media)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$8.985.000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Límite Mínimo Simulado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$3.000.000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Exposición Máxima Simulada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$15.000.000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Desviación Estándar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$2.365.730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Percentil 80 (certeza presupuestaria)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$11.500.000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Reserva de Contingencia Aprobada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$9.054.000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Moda (bin de mayor frecuencia)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$9.960.000 (160 registros)</w:t>
            </w:r>
          </w:p>
        </w:tc>
      </w:tr>
    </w:tbl>
    <w:p>
      <w:pPr>
        <w:spacing w:after="0" w:before="100"/>
      </w:pPr>
      <w:r>
        <w:t xml:space="preserve"/>
      </w:r>
    </w:p>
    <w:p>
      <w:pPr>
        <w:spacing w:after="80" w:before="200"/>
      </w:pPr>
      <w:r>
        <w:rPr>
          <w:rFonts w:ascii="Arial" w:cs="Arial" w:eastAsia="Arial" w:hAnsi="Arial"/>
          <w:b/>
          <w:bCs/>
          <w:color w:val="1B3A6B"/>
          <w:sz w:val="22"/>
          <w:szCs w:val="22"/>
        </w:rPr>
        <w:t xml:space="preserve">Destinos Autorizados del Fondo de Contingencia</w:t>
      </w:r>
    </w:p>
    <w:p>
      <w:pPr>
        <w:spacing w:after="80" w:before="60"/>
        <w:jc w:val="both"/>
      </w:pPr>
      <w:r>
        <w:rPr>
          <w:rFonts w:ascii="Arial" w:cs="Arial" w:eastAsia="Arial" w:hAnsi="Arial"/>
          <w:sz w:val="22"/>
          <w:szCs w:val="22"/>
        </w:rPr>
        <w:t xml:space="preserve">El fondo de contingencia quedó habilitado para tres categorías de uso prioritario, en estricta concordancia con los riesgos de mayor severidad del proyecto:</w:t>
      </w:r>
    </w:p>
    <w:p>
      <w:pPr>
        <w:spacing w:after="0" w:before="40"/>
      </w:pPr>
      <w:r>
        <w:t xml:space="preserve"/>
      </w:r>
    </w:p>
    <w:p>
      <w:pPr>
        <w:pStyle w:val="ListParagraph"/>
        <w:numPr>
          <w:ilvl w:val="0"/>
          <w:numId w:val="2"/>
        </w:numPr>
        <w:spacing w:after="40" w:before="40"/>
        <w:jc w:val="both"/>
      </w:pPr>
      <w:r>
        <w:rPr>
          <w:rFonts w:ascii="Arial" w:cs="Arial" w:eastAsia="Arial" w:hAnsi="Arial"/>
          <w:b/>
          <w:bCs/>
          <w:sz w:val="22"/>
          <w:szCs w:val="22"/>
        </w:rPr>
        <w:t xml:space="preserve">Categoría 1 — </w:t>
      </w:r>
      <w:r>
        <w:rPr>
          <w:rFonts w:ascii="Arial" w:cs="Arial" w:eastAsia="Arial" w:hAnsi="Arial"/>
          <w:sz w:val="22"/>
          <w:szCs w:val="22"/>
        </w:rPr>
        <w:t xml:space="preserve"> Reemplazo Crítico de Sensores IoT: Reposición acelerada de hardware de telemetría ante fallas de fábrica o condiciones climáticas hostiles en las faenas mineras, incluyendo traslado logístico urgente.</w:t>
      </w:r>
    </w:p>
    <w:p>
      <w:pPr>
        <w:pStyle w:val="ListParagraph"/>
        <w:numPr>
          <w:ilvl w:val="0"/>
          <w:numId w:val="2"/>
        </w:numPr>
        <w:spacing w:after="40" w:before="40"/>
        <w:jc w:val="both"/>
      </w:pPr>
      <w:r>
        <w:rPr>
          <w:rFonts w:ascii="Arial" w:cs="Arial" w:eastAsia="Arial" w:hAnsi="Arial"/>
          <w:b/>
          <w:bCs/>
          <w:sz w:val="22"/>
          <w:szCs w:val="22"/>
        </w:rPr>
        <w:t xml:space="preserve">Categoría 2 — </w:t>
      </w:r>
      <w:r>
        <w:rPr>
          <w:rFonts w:ascii="Arial" w:cs="Arial" w:eastAsia="Arial" w:hAnsi="Arial"/>
          <w:sz w:val="22"/>
          <w:szCs w:val="22"/>
        </w:rPr>
        <w:t xml:space="preserve"> Estabilización de Integración SCADA: Contratación de ingenieros especialistas externos para resolver inestabilidades estructurales de la API SCADA y del flujo de datos hacia los modelos predictivos.</w:t>
      </w:r>
    </w:p>
    <w:p>
      <w:pPr>
        <w:pStyle w:val="ListParagraph"/>
        <w:numPr>
          <w:ilvl w:val="0"/>
          <w:numId w:val="2"/>
        </w:numPr>
        <w:spacing w:after="40" w:before="40"/>
        <w:jc w:val="both"/>
      </w:pPr>
      <w:r>
        <w:rPr>
          <w:rFonts w:ascii="Arial" w:cs="Arial" w:eastAsia="Arial" w:hAnsi="Arial"/>
          <w:b/>
          <w:bCs/>
          <w:sz w:val="22"/>
          <w:szCs w:val="22"/>
        </w:rPr>
        <w:t xml:space="preserve">Categoría 3 — </w:t>
      </w:r>
      <w:r>
        <w:rPr>
          <w:rFonts w:ascii="Arial" w:cs="Arial" w:eastAsia="Arial" w:hAnsi="Arial"/>
          <w:sz w:val="22"/>
          <w:szCs w:val="22"/>
        </w:rPr>
        <w:t xml:space="preserve"> Ciberseguridad y Mitigación de Red: Despliegue reactivo de contramedidas ante incidentes o brechas de seguridad confirmadas —como el ataque MITM de la semana 11— en la red de terreno del proyecto.</w:t>
      </w:r>
    </w:p>
    <w:p>
      <w:pPr>
        <w:spacing w:after="0" w:before="80"/>
      </w:pPr>
      <w:r>
        <w:t xml:space="preserve"/>
      </w:r>
    </w:p>
    <w:p>
      <w:pPr>
        <w:spacing w:after="80" w:before="60"/>
        <w:jc w:val="both"/>
      </w:pPr>
      <w:r>
        <w:rPr>
          <w:rFonts w:ascii="Arial" w:cs="Arial" w:eastAsia="Arial" w:hAnsi="Arial"/>
          <w:sz w:val="22"/>
          <w:szCs w:val="22"/>
        </w:rPr>
        <w:t xml:space="preserve">Al cierre del presente informe, el consumo efectivo del fondo no superó el 40% de la reserva total aprobada, lo que valida la robustez del modelo Monte Carlo y la efectividad de las acciones preventivas ejecutadas con antelación suficiente para evitar escaladas de costo.</w:t>
      </w:r>
    </w:p>
    <w:p>
      <w:r>
        <w:br w:type="page"/>
      </w:r>
    </w:p>
    <w:p>
      <w:pPr>
        <w:pStyle w:val="Heading2"/>
        <w:spacing w:after="120" w:before="240"/>
      </w:pPr>
      <w:r>
        <w:rPr>
          <w:rFonts w:ascii="Arial" w:cs="Arial" w:eastAsia="Arial" w:hAnsi="Arial"/>
          <w:b/>
          <w:bCs/>
          <w:color w:val="2E6DA4"/>
          <w:sz w:val="26"/>
          <w:szCs w:val="26"/>
        </w:rPr>
        <w:t xml:space="preserve">2.4 Estrategias de Respuesta y Control de Riesgos Activos</w:t>
      </w:r>
    </w:p>
    <w:p>
      <w:pPr>
        <w:spacing w:after="80" w:before="60"/>
        <w:jc w:val="both"/>
      </w:pPr>
      <w:r>
        <w:rPr>
          <w:rFonts w:ascii="Arial" w:cs="Arial" w:eastAsia="Arial" w:hAnsi="Arial"/>
          <w:sz w:val="22"/>
          <w:szCs w:val="22"/>
        </w:rPr>
        <w:t xml:space="preserve">Con base en la estructura de respuesta definida en el Informe 2 (estrategias diferenciadas según el nivel cualitativo Probabilidad × Impacto), este apartado documenta la ejecución real de las principales contramedidas activadas durante el ciclo de control del Proyecto TITAN:</w:t>
      </w:r>
    </w:p>
    <w:p>
      <w:pPr>
        <w:spacing w:after="0" w:before="80"/>
      </w:pPr>
      <w:r>
        <w:t xml:space="preserve"/>
      </w:r>
    </w:p>
    <w:p>
      <w:pPr>
        <w:spacing w:after="80" w:before="200"/>
      </w:pPr>
      <w:r>
        <w:rPr>
          <w:rFonts w:ascii="Arial" w:cs="Arial" w:eastAsia="Arial" w:hAnsi="Arial"/>
          <w:b/>
          <w:bCs/>
          <w:color w:val="1B3A6B"/>
          <w:sz w:val="22"/>
          <w:szCs w:val="22"/>
        </w:rPr>
        <w:t xml:space="preserve">Riesgos Críticos — Mitigación y Eliminación Inmediata</w:t>
      </w:r>
    </w:p>
    <w:p>
      <w:pPr>
        <w:pStyle w:val="ListParagraph"/>
        <w:numPr>
          <w:ilvl w:val="0"/>
          <w:numId w:val="2"/>
        </w:numPr>
        <w:spacing w:after="40" w:before="40"/>
        <w:jc w:val="both"/>
      </w:pPr>
      <w:r>
        <w:rPr>
          <w:rFonts w:ascii="Arial" w:cs="Arial" w:eastAsia="Arial" w:hAnsi="Arial"/>
          <w:b/>
          <w:bCs/>
          <w:sz w:val="22"/>
          <w:szCs w:val="22"/>
        </w:rPr>
        <w:t xml:space="preserve">Ciberseguridad Anti-MITM: </w:t>
      </w:r>
      <w:r>
        <w:rPr>
          <w:rFonts w:ascii="Arial" w:cs="Arial" w:eastAsia="Arial" w:hAnsi="Arial"/>
          <w:sz w:val="22"/>
          <w:szCs w:val="22"/>
        </w:rPr>
        <w:t xml:space="preserve">Implementación de autenticación X.509 con certificados de cliente en todos los nodos IoT desplegados en faena. Esta medida respondió directamente al ataque MITM detectado en la semana 11 y fue ejecutada en un plazo de 72 horas hábiles desde la alerta de seguridad.</w:t>
      </w:r>
    </w:p>
    <w:p>
      <w:pPr>
        <w:pStyle w:val="ListParagraph"/>
        <w:numPr>
          <w:ilvl w:val="0"/>
          <w:numId w:val="2"/>
        </w:numPr>
        <w:spacing w:after="40" w:before="40"/>
        <w:jc w:val="both"/>
      </w:pPr>
      <w:r>
        <w:rPr>
          <w:rFonts w:ascii="Arial" w:cs="Arial" w:eastAsia="Arial" w:hAnsi="Arial"/>
          <w:b/>
          <w:bCs/>
          <w:sz w:val="22"/>
          <w:szCs w:val="22"/>
        </w:rPr>
        <w:t xml:space="preserve">Auditoría de Cifrado Externo: </w:t>
      </w:r>
      <w:r>
        <w:rPr>
          <w:rFonts w:ascii="Arial" w:cs="Arial" w:eastAsia="Arial" w:hAnsi="Arial"/>
          <w:sz w:val="22"/>
          <w:szCs w:val="22"/>
        </w:rPr>
        <w:t xml:space="preserve">Auditoría técnica completa del código y librerías de cifrado entregadas por MINERATEK Ltda., resultando en la identificación y corrección de módulos con cifrado de 64 bits inferior al estándar AES-256 requerido por NovaMining S.A.</w:t>
      </w:r>
    </w:p>
    <w:p>
      <w:pPr>
        <w:pStyle w:val="ListParagraph"/>
        <w:numPr>
          <w:ilvl w:val="0"/>
          <w:numId w:val="2"/>
        </w:numPr>
        <w:spacing w:after="40" w:before="40"/>
        <w:jc w:val="both"/>
      </w:pPr>
      <w:r>
        <w:rPr>
          <w:rFonts w:ascii="Arial" w:cs="Arial" w:eastAsia="Arial" w:hAnsi="Arial"/>
          <w:b/>
          <w:bCs/>
          <w:sz w:val="22"/>
          <w:szCs w:val="22"/>
        </w:rPr>
        <w:t xml:space="preserve">Gobernanza Contractual: </w:t>
      </w:r>
      <w:r>
        <w:rPr>
          <w:rFonts w:ascii="Arial" w:cs="Arial" w:eastAsia="Arial" w:hAnsi="Arial"/>
          <w:sz w:val="22"/>
          <w:szCs w:val="22"/>
        </w:rPr>
        <w:t xml:space="preserve">Formalización y firma del Acta de Constitución con el patrocinador (Gerente de Innovación), delimitando el alcance del MVP a 5 meses con hitos contractuales verificables y mecanismos de retención de pago ante incumplimientos.</w:t>
      </w:r>
    </w:p>
    <w:p>
      <w:pPr>
        <w:spacing w:after="0" w:before="80"/>
      </w:pPr>
      <w:r>
        <w:t xml:space="preserve"/>
      </w:r>
    </w:p>
    <w:p>
      <w:pPr>
        <w:spacing w:after="80" w:before="200"/>
      </w:pPr>
      <w:r>
        <w:rPr>
          <w:rFonts w:ascii="Arial" w:cs="Arial" w:eastAsia="Arial" w:hAnsi="Arial"/>
          <w:b/>
          <w:bCs/>
          <w:color w:val="1B3A6B"/>
          <w:sz w:val="22"/>
          <w:szCs w:val="22"/>
        </w:rPr>
        <w:t xml:space="preserve">Riesgos Moderados — Mitigación Programada</w:t>
      </w:r>
    </w:p>
    <w:p>
      <w:pPr>
        <w:pStyle w:val="ListParagraph"/>
        <w:numPr>
          <w:ilvl w:val="0"/>
          <w:numId w:val="2"/>
        </w:numPr>
        <w:spacing w:after="40" w:before="40"/>
        <w:jc w:val="both"/>
      </w:pPr>
      <w:r>
        <w:rPr>
          <w:rFonts w:ascii="Arial" w:cs="Arial" w:eastAsia="Arial" w:hAnsi="Arial"/>
          <w:b/>
          <w:bCs/>
          <w:sz w:val="22"/>
          <w:szCs w:val="22"/>
        </w:rPr>
        <w:t xml:space="preserve">Estabilización API SCADA: </w:t>
      </w:r>
      <w:r>
        <w:rPr>
          <w:rFonts w:ascii="Arial" w:cs="Arial" w:eastAsia="Arial" w:hAnsi="Arial"/>
          <w:sz w:val="22"/>
          <w:szCs w:val="22"/>
        </w:rPr>
        <w:t xml:space="preserve">Desarrollo e implementación de una capa de filtrado asíncrono sobre las consultas a la API SCADA, reduciendo la tasa de datos ruidosos en un 78% y estabilizando la latencia de ingesta por debajo del umbral normal de 200 ms.</w:t>
      </w:r>
    </w:p>
    <w:p>
      <w:pPr>
        <w:pStyle w:val="ListParagraph"/>
        <w:numPr>
          <w:ilvl w:val="0"/>
          <w:numId w:val="2"/>
        </w:numPr>
        <w:spacing w:after="40" w:before="40"/>
        <w:jc w:val="both"/>
      </w:pPr>
      <w:r>
        <w:rPr>
          <w:rFonts w:ascii="Arial" w:cs="Arial" w:eastAsia="Arial" w:hAnsi="Arial"/>
          <w:b/>
          <w:bCs/>
          <w:sz w:val="22"/>
          <w:szCs w:val="22"/>
        </w:rPr>
        <w:t xml:space="preserve">Gestión de Carga Laboral: </w:t>
      </w:r>
      <w:r>
        <w:rPr>
          <w:rFonts w:ascii="Arial" w:cs="Arial" w:eastAsia="Arial" w:hAnsi="Arial"/>
          <w:sz w:val="22"/>
          <w:szCs w:val="22"/>
        </w:rPr>
        <w:t xml:space="preserve">Reestructuración del plan de carga laboral semanal del equipo mediante la priorización explícita de tareas críticas y la redistribución de actividades de menor urgencia, reduciendo las horas extras semanales de un promedio de 14 horas a 4 horas por integrante.</w:t>
      </w:r>
    </w:p>
    <w:p>
      <w:pPr>
        <w:pStyle w:val="ListParagraph"/>
        <w:numPr>
          <w:ilvl w:val="0"/>
          <w:numId w:val="2"/>
        </w:numPr>
        <w:spacing w:after="40" w:before="40"/>
        <w:jc w:val="both"/>
      </w:pPr>
      <w:r>
        <w:rPr>
          <w:rFonts w:ascii="Arial" w:cs="Arial" w:eastAsia="Arial" w:hAnsi="Arial"/>
          <w:b/>
          <w:bCs/>
          <w:sz w:val="22"/>
          <w:szCs w:val="22"/>
        </w:rPr>
        <w:t xml:space="preserve">Capacitación a Usuarios: </w:t>
      </w:r>
      <w:r>
        <w:rPr>
          <w:rFonts w:ascii="Arial" w:cs="Arial" w:eastAsia="Arial" w:hAnsi="Arial"/>
          <w:sz w:val="22"/>
          <w:szCs w:val="22"/>
        </w:rPr>
        <w:t xml:space="preserve">Entrenamiento formal a 12 operarios mineros de planta en el uso del sistema de monitoreo IoT-SCADA, reduciendo la resistencia al cambio tecnológico y disminuyendo los tickets de soporte técnico en un 55% durante las semanas de operación piloto.</w:t>
      </w:r>
    </w:p>
    <w:p>
      <w:pPr>
        <w:spacing w:after="0" w:before="80"/>
      </w:pPr>
      <w:r>
        <w:t xml:space="preserve"/>
      </w:r>
    </w:p>
    <w:p>
      <w:pPr>
        <w:spacing w:after="80" w:before="200"/>
      </w:pPr>
      <w:r>
        <w:rPr>
          <w:rFonts w:ascii="Arial" w:cs="Arial" w:eastAsia="Arial" w:hAnsi="Arial"/>
          <w:b/>
          <w:bCs/>
          <w:color w:val="1B3A6B"/>
          <w:sz w:val="22"/>
          <w:szCs w:val="22"/>
        </w:rPr>
        <w:t xml:space="preserve">Árbol de Decisión — Resolución Final del Caso MINERATEK Ltda.</w:t>
      </w:r>
    </w:p>
    <w:p>
      <w:pPr>
        <w:spacing w:after="80" w:before="60"/>
        <w:jc w:val="both"/>
      </w:pPr>
      <w:r>
        <w:rPr>
          <w:rFonts w:ascii="Arial" w:cs="Arial" w:eastAsia="Arial" w:hAnsi="Arial"/>
          <w:sz w:val="22"/>
          <w:szCs w:val="22"/>
        </w:rPr>
        <w:t xml:space="preserve">El árbol de decisión presentado en el Informe 2 evaluó tres opciones estratégicas frente al incumplimiento de estándares de cifrado por parte del proveedor externo. La resolución final adoptada fue la Opción A — Corrección Contractual Exigida, cuyo resultado al cierre fue:</w:t>
      </w:r>
    </w:p>
    <w:p>
      <w:pPr>
        <w:spacing w:after="0" w:before="40"/>
      </w:pPr>
      <w:r>
        <w:t xml:space="preserve"/>
      </w:r>
    </w:p>
    <w:p>
      <w:pPr>
        <w:pStyle w:val="ListParagraph"/>
        <w:numPr>
          <w:ilvl w:val="0"/>
          <w:numId w:val="2"/>
        </w:numPr>
        <w:spacing w:after="40" w:before="40"/>
        <w:jc w:val="both"/>
      </w:pPr>
      <w:r>
        <w:rPr>
          <w:rFonts w:ascii="Arial" w:cs="Arial" w:eastAsia="Arial" w:hAnsi="Arial"/>
          <w:b/>
          <w:bCs/>
          <w:sz w:val="22"/>
          <w:szCs w:val="22"/>
        </w:rPr>
        <w:t xml:space="preserve">Resultado verificado: </w:t>
      </w:r>
      <w:r>
        <w:rPr>
          <w:rFonts w:ascii="Arial" w:cs="Arial" w:eastAsia="Arial" w:hAnsi="Arial"/>
          <w:sz w:val="22"/>
          <w:szCs w:val="22"/>
        </w:rPr>
        <w:t xml:space="preserve">MINERATEK Ltda. entregó una versión corregida del software con cifrado AES-256 en un plazo de 18 días hábiles, dentro del rango esperado por el modelo (probabilidad de éxito técnico del 70%).</w:t>
      </w:r>
    </w:p>
    <w:p>
      <w:pPr>
        <w:pStyle w:val="ListParagraph"/>
        <w:numPr>
          <w:ilvl w:val="0"/>
          <w:numId w:val="2"/>
        </w:numPr>
        <w:spacing w:after="40" w:before="40"/>
        <w:jc w:val="both"/>
      </w:pPr>
      <w:r>
        <w:rPr>
          <w:rFonts w:ascii="Arial" w:cs="Arial" w:eastAsia="Arial" w:hAnsi="Arial"/>
          <w:b/>
          <w:bCs/>
          <w:sz w:val="22"/>
          <w:szCs w:val="22"/>
        </w:rPr>
        <w:t xml:space="preserve">Impacto financiero: </w:t>
      </w:r>
      <w:r>
        <w:rPr>
          <w:rFonts w:ascii="Arial" w:cs="Arial" w:eastAsia="Arial" w:hAnsi="Arial"/>
          <w:sz w:val="22"/>
          <w:szCs w:val="22"/>
        </w:rPr>
        <w:t xml:space="preserve">No se aplicaron multas contractuales dado el cumplimiento dentro del plazo acordado. El Project Manager Carlos Viera ejerció la retención preventiva del pago del hito hasta la validación técnica por parte de Renato Reinoso.</w:t>
      </w:r>
    </w:p>
    <w:p>
      <w:pPr>
        <w:pStyle w:val="ListParagraph"/>
        <w:numPr>
          <w:ilvl w:val="0"/>
          <w:numId w:val="2"/>
        </w:numPr>
        <w:spacing w:after="40" w:before="40"/>
        <w:jc w:val="both"/>
      </w:pPr>
      <w:r>
        <w:rPr>
          <w:rFonts w:ascii="Arial" w:cs="Arial" w:eastAsia="Arial" w:hAnsi="Arial"/>
          <w:b/>
          <w:bCs/>
          <w:sz w:val="22"/>
          <w:szCs w:val="22"/>
        </w:rPr>
        <w:t xml:space="preserve">Planes no ejecutados: </w:t>
      </w:r>
      <w:r>
        <w:rPr>
          <w:rFonts w:ascii="Arial" w:cs="Arial" w:eastAsia="Arial" w:hAnsi="Arial"/>
          <w:sz w:val="22"/>
          <w:szCs w:val="22"/>
        </w:rPr>
        <w:t xml:space="preserve">La Opción B (desarrollo interno) y la Opción C (cambio de proveedor) quedaron registradas como planes de contingencia archivados, sin haberse activado.</w:t>
      </w:r>
    </w:p>
    <w:p>
      <w:r>
        <w:br w:type="page"/>
      </w:r>
    </w:p>
    <w:p>
      <w:pPr>
        <w:pStyle w:val="Heading2"/>
        <w:spacing w:after="120" w:before="240"/>
      </w:pPr>
      <w:r>
        <w:rPr>
          <w:rFonts w:ascii="Arial" w:cs="Arial" w:eastAsia="Arial" w:hAnsi="Arial"/>
          <w:b/>
          <w:bCs/>
          <w:color w:val="2E6DA4"/>
          <w:sz w:val="26"/>
          <w:szCs w:val="26"/>
        </w:rPr>
        <w:t xml:space="preserve">2.5 Actualización del Estado de Riesgos Prioritarios</w:t>
      </w:r>
    </w:p>
    <w:p>
      <w:pPr>
        <w:spacing w:after="80" w:before="60"/>
        <w:jc w:val="both"/>
      </w:pPr>
      <w:r>
        <w:rPr>
          <w:rFonts w:ascii="Arial" w:cs="Arial" w:eastAsia="Arial" w:hAnsi="Arial"/>
          <w:sz w:val="22"/>
          <w:szCs w:val="22"/>
        </w:rPr>
        <w:t xml:space="preserve">A continuación se presenta la tabla de seguimiento de los riesgos de mayor impacto identificados durante el ciclo del Proyecto TITAN, con su estado de control al cierre del plan de mitigación: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2100"/>
        <w:gridCol w:w="1200"/>
        <w:gridCol w:w="1200"/>
        <w:gridCol w:w="1440"/>
        <w:gridCol w:w="3240"/>
      </w:tblGrid>
      <w:tr>
        <w:tc>
          <w:tcPr>
            <w:tcW w:type="dxa" w:w="1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c>
          <w:tcPr>
            <w:tcW w:type="dxa" w:w="2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Riesgo</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 × I Inicial</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 × I Actual</w:t>
            </w:r>
          </w:p>
        </w:tc>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c>
          <w:tcPr>
            <w:tcW w:type="dxa" w:w="3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Acción Ejecutada</w:t>
            </w:r>
          </w:p>
        </w:tc>
      </w:tr>
      <w:tr>
        <w:tc>
          <w:tcPr>
            <w:tcW w:type="dxa" w:w="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1</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Ataque MITM en red IoT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5 × 5 = 25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1 × 3 = 3</w:t>
            </w:r>
          </w:p>
        </w:tc>
        <w:tc>
          <w:tcPr>
            <w:tcW w:type="dxa" w:w="144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18"/>
                <w:szCs w:val="18"/>
              </w:rPr>
              <w:t xml:space="preserve">MITIGADO</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Implementación de certificados X.509 y aislamiento de pasarela comprometida</w:t>
            </w:r>
          </w:p>
        </w:tc>
      </w:tr>
      <w:tr>
        <w:tc>
          <w:tcPr>
            <w:tcW w:type="dxa" w:w="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Cifrado deficiente MINERATEK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4 × 5 = 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1 × 2 = 2</w:t>
            </w:r>
          </w:p>
        </w:tc>
        <w:tc>
          <w:tcPr>
            <w:tcW w:type="dxa" w:w="144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18"/>
                <w:szCs w:val="18"/>
              </w:rPr>
              <w:t xml:space="preserve">MITIGADO</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Corrección contractual y auditoría AES-256 completada en 18 días hábiles</w:t>
            </w:r>
          </w:p>
        </w:tc>
      </w:tr>
      <w:tr>
        <w:tc>
          <w:tcPr>
            <w:tcW w:type="dxa" w:w="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3</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API SCADA inestable/ruidosa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4 × 4 = 16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2 × 2 = 4</w:t>
            </w:r>
          </w:p>
        </w:tc>
        <w:tc>
          <w:tcPr>
            <w:tcW w:type="dxa" w:w="144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sz w:val="18"/>
                <w:szCs w:val="18"/>
              </w:rPr>
              <w:t xml:space="preserve">CONTROLADO</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Capa de filtrado asíncrono reduce datos ruidosos en 78%</w:t>
            </w:r>
          </w:p>
        </w:tc>
      </w:tr>
      <w:tr>
        <w:tc>
          <w:tcPr>
            <w:tcW w:type="dxa" w:w="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Falta de Acta de Constitución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5 × 4 = 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1 × 1 = 1</w:t>
            </w:r>
          </w:p>
        </w:tc>
        <w:tc>
          <w:tcPr>
            <w:tcW w:type="dxa" w:w="14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18"/>
                <w:szCs w:val="18"/>
              </w:rPr>
              <w:t xml:space="preserve">CERRADO</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Acta firmada en semana 2 con hitos contractuales formalizados</w:t>
            </w:r>
          </w:p>
        </w:tc>
      </w:tr>
      <w:tr>
        <w:tc>
          <w:tcPr>
            <w:tcW w:type="dxa" w:w="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5</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Sobrecarga laboral del equipo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4 × 4 = 16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2 × 2 = 4</w:t>
            </w:r>
          </w:p>
        </w:tc>
        <w:tc>
          <w:tcPr>
            <w:tcW w:type="dxa" w:w="144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sz w:val="18"/>
                <w:szCs w:val="18"/>
              </w:rPr>
              <w:t xml:space="preserve">CONTROLADO</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Redistribución de tareas reduce horas extras de 14 a 4 hrs/semana</w:t>
            </w:r>
          </w:p>
        </w:tc>
      </w:tr>
      <w:tr>
        <w:tc>
          <w:tcPr>
            <w:tcW w:type="dxa" w:w="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Resistencia al cambio operarios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3 × 3 = 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1 × 2 = 2</w:t>
            </w:r>
          </w:p>
        </w:tc>
        <w:tc>
          <w:tcPr>
            <w:tcW w:type="dxa" w:w="144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18"/>
                <w:szCs w:val="18"/>
              </w:rPr>
              <w:t xml:space="preserve">MITIGADO</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Capacitación a 12 operarios; tickets soporte reducidos 55%</w:t>
            </w:r>
          </w:p>
        </w:tc>
      </w:tr>
      <w:tr>
        <w:tc>
          <w:tcPr>
            <w:tcW w:type="dxa" w:w="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7</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Falla de sensores IoT en faena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3 × 4 = 12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2 × 2 = 4</w:t>
            </w:r>
          </w:p>
        </w:tc>
        <w:tc>
          <w:tcPr>
            <w:tcW w:type="dxa" w:w="144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sz w:val="18"/>
                <w:szCs w:val="18"/>
              </w:rPr>
              <w:t xml:space="preserve">CONTROLADO</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Kit de reemplazo activado. 1 sensor reemplazado en 48 hrs.</w:t>
            </w:r>
          </w:p>
        </w:tc>
      </w:tr>
      <w:tr>
        <w:tc>
          <w:tcPr>
            <w:tcW w:type="dxa" w:w="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8</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Presión del patrocinador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4 × 3 = 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2 × 2 = 4</w:t>
            </w:r>
          </w:p>
        </w:tc>
        <w:tc>
          <w:tcPr>
            <w:tcW w:type="dxa" w:w="144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sz w:val="18"/>
                <w:szCs w:val="18"/>
              </w:rPr>
              <w:t xml:space="preserve">CONTROLADO</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Reporte quincenal de KPIs al Gerente de Innovación normaliza expectativas</w:t>
            </w:r>
          </w:p>
        </w:tc>
      </w:tr>
    </w:tbl>
    <w:p>
      <w:pPr>
        <w:spacing w:after="0" w:before="80"/>
      </w:pPr>
      <w:r>
        <w:t xml:space="preserve"/>
      </w:r>
    </w:p>
    <w:p>
      <w:pPr>
        <w:spacing w:after="80" w:before="60"/>
        <w:jc w:val="both"/>
      </w:pPr>
      <w:r>
        <w:rPr>
          <w:rFonts w:ascii="Arial" w:cs="Arial" w:eastAsia="Arial" w:hAnsi="Arial"/>
          <w:sz w:val="22"/>
          <w:szCs w:val="22"/>
        </w:rPr>
        <w:t xml:space="preserve">El análisis comparativo entre los puntajes de riesgo iniciales (Probabilidad × Impacto) y los valores al cierre del plan evidencia una reducción promedio del 84% en la exposición al riesgo agregada del proyecto. Los riesgos que permanecen en estado CONTROLADO reflejan amenazas de naturaleza estructural que requieren monitoreo continuo durante la fase de operación sostenida del sistema IoT-SCADA, más allá del alcance del presente proyecto.</w:t>
      </w:r>
    </w:p>
    <w:p>
      <w:r>
        <w:br w:type="page"/>
      </w:r>
    </w:p>
    <w:p>
      <w:pPr>
        <w:pStyle w:val="Heading2"/>
        <w:spacing w:after="120" w:before="240"/>
      </w:pPr>
      <w:r>
        <w:rPr>
          <w:rFonts w:ascii="Arial" w:cs="Arial" w:eastAsia="Arial" w:hAnsi="Arial"/>
          <w:b/>
          <w:bCs/>
          <w:color w:val="2E6DA4"/>
          <w:sz w:val="26"/>
          <w:szCs w:val="26"/>
        </w:rPr>
        <w:t xml:space="preserve">2.6 Lecciones Aprendidas y Transferencia de Conocimiento</w:t>
      </w:r>
    </w:p>
    <w:p>
      <w:pPr>
        <w:spacing w:after="80" w:before="60"/>
        <w:jc w:val="both"/>
      </w:pPr>
      <w:r>
        <w:rPr>
          <w:rFonts w:ascii="Arial" w:cs="Arial" w:eastAsia="Arial" w:hAnsi="Arial"/>
          <w:sz w:val="22"/>
          <w:szCs w:val="22"/>
        </w:rPr>
        <w:t xml:space="preserve">El cierre formal del Plan de Gestión de Riesgos del Proyecto TITAN no estaría completo sin la documentación estructurada de las principales lecciones aprendidas. Este registro constituye un activo estratégico para NovaMining S.A. y para el equipo técnico, aplicable a proyectos de integración tecnológica futura:</w:t>
      </w:r>
    </w:p>
    <w:p>
      <w:pPr>
        <w:spacing w:after="0" w:before="80"/>
      </w:pPr>
      <w:r>
        <w:t xml:space="preserve"/>
      </w:r>
    </w:p>
    <w:p>
      <w:pPr>
        <w:spacing w:after="80" w:before="200"/>
      </w:pPr>
      <w:r>
        <w:rPr>
          <w:rFonts w:ascii="Arial" w:cs="Arial" w:eastAsia="Arial" w:hAnsi="Arial"/>
          <w:b/>
          <w:bCs/>
          <w:color w:val="1B3A6B"/>
          <w:sz w:val="22"/>
          <w:szCs w:val="22"/>
        </w:rPr>
        <w:t xml:space="preserve">Lección 1 — La Gobernanza Temprana es el Mayor Factor de Riesgo</w:t>
      </w:r>
    </w:p>
    <w:p>
      <w:pPr>
        <w:spacing w:after="80" w:before="60"/>
        <w:jc w:val="both"/>
      </w:pPr>
      <w:r>
        <w:rPr>
          <w:rFonts w:ascii="Arial" w:cs="Arial" w:eastAsia="Arial" w:hAnsi="Arial"/>
          <w:sz w:val="22"/>
          <w:szCs w:val="22"/>
        </w:rPr>
        <w:t xml:space="preserve">La ausencia de un Acta de Constitución formalizada en las semanas iniciales del proyecto fue el riesgo de mayor impacto colateral: generó sobrecarga laboral, desalineación de expectativas con el patrocinador y ambigüedad en el alcance del MVP. La firma del acta en la semana 2 transformó el clima del proyecto de forma inmediata. Recomendación: En proyectos de integración tecnológica con patrocinadores de alta exigencia, la formalización institucional debe ser el hito cero, anterior a cualquier desarrollo técnico.</w:t>
      </w:r>
    </w:p>
    <w:p>
      <w:pPr>
        <w:spacing w:after="0" w:before="60"/>
      </w:pPr>
      <w:r>
        <w:t xml:space="preserve"/>
      </w:r>
    </w:p>
    <w:p>
      <w:pPr>
        <w:spacing w:after="80" w:before="200"/>
      </w:pPr>
      <w:r>
        <w:rPr>
          <w:rFonts w:ascii="Arial" w:cs="Arial" w:eastAsia="Arial" w:hAnsi="Arial"/>
          <w:b/>
          <w:bCs/>
          <w:color w:val="1B3A6B"/>
          <w:sz w:val="22"/>
          <w:szCs w:val="22"/>
        </w:rPr>
        <w:t xml:space="preserve">Lección 2 — Los Proveedores Externos Requieren Cláusulas Técnicas Explícitas</w:t>
      </w:r>
    </w:p>
    <w:p>
      <w:pPr>
        <w:spacing w:after="80" w:before="60"/>
        <w:jc w:val="both"/>
      </w:pPr>
      <w:r>
        <w:rPr>
          <w:rFonts w:ascii="Arial" w:cs="Arial" w:eastAsia="Arial" w:hAnsi="Arial"/>
          <w:sz w:val="22"/>
          <w:szCs w:val="22"/>
        </w:rPr>
        <w:t xml:space="preserve">El incumplimiento de estándares de cifrado por parte de MINERATEK Ltda. no fue un error aislado: fue el resultado de un contrato que no especificaba métricas técnicas de seguridad verificables (estándar de cifrado mínimo, protocolo de auditoría, penalidades por incumplimiento). La incorporación del proveedor a la Matriz RACI con responsabilidades explícitas fue la medida que permitió gestionar el incidente de forma ordenada. Recomendación: Todo contrato con proveedores de software en entornos críticos debe incluir un anexo técnico con métricas de seguridad auditables y cláusulas de retención de pago vinculadas a su cumplimiento.</w:t>
      </w:r>
    </w:p>
    <w:p>
      <w:pPr>
        <w:spacing w:after="0" w:before="60"/>
      </w:pPr>
      <w:r>
        <w:t xml:space="preserve"/>
      </w:r>
    </w:p>
    <w:p>
      <w:pPr>
        <w:spacing w:after="80" w:before="200"/>
      </w:pPr>
      <w:r>
        <w:rPr>
          <w:rFonts w:ascii="Arial" w:cs="Arial" w:eastAsia="Arial" w:hAnsi="Arial"/>
          <w:b/>
          <w:bCs/>
          <w:color w:val="1B3A6B"/>
          <w:sz w:val="22"/>
          <w:szCs w:val="22"/>
        </w:rPr>
        <w:t xml:space="preserve">Lección 3 — Los KRI Deben Monitorearse antes de Que los Incidentes Ocurran</w:t>
      </w:r>
    </w:p>
    <w:p>
      <w:pPr>
        <w:spacing w:after="80" w:before="60"/>
        <w:jc w:val="both"/>
      </w:pPr>
      <w:r>
        <w:rPr>
          <w:rFonts w:ascii="Arial" w:cs="Arial" w:eastAsia="Arial" w:hAnsi="Arial"/>
          <w:sz w:val="22"/>
          <w:szCs w:val="22"/>
        </w:rPr>
        <w:t xml:space="preserve">El ataque MITM de la semana 11 fue detectado precisamente porque el KRI de intentos fallidos de autenticación X.509 estaba siendo monitoreado activamente. Sin ese indicador en operación, el ataque podría haber comprometido datos de telemetría durante días antes de ser detectado. Recomendación: Los paneles de KRI deben activarse desde el día uno del proyecto, no como respuesta a incidentes sino como capa preventiva permanente.</w:t>
      </w:r>
    </w:p>
    <w:p>
      <w:pPr>
        <w:spacing w:after="0" w:before="60"/>
      </w:pPr>
      <w:r>
        <w:t xml:space="preserve"/>
      </w:r>
    </w:p>
    <w:p>
      <w:pPr>
        <w:spacing w:after="80" w:before="200"/>
      </w:pPr>
      <w:r>
        <w:rPr>
          <w:rFonts w:ascii="Arial" w:cs="Arial" w:eastAsia="Arial" w:hAnsi="Arial"/>
          <w:b/>
          <w:bCs/>
          <w:color w:val="1B3A6B"/>
          <w:sz w:val="22"/>
          <w:szCs w:val="22"/>
        </w:rPr>
        <w:t xml:space="preserve">Lección 4 — La Simulación Monte Carlo Subestima el Valor de la Prevención</w:t>
      </w:r>
    </w:p>
    <w:p>
      <w:pPr>
        <w:spacing w:after="80" w:before="60"/>
        <w:jc w:val="both"/>
      </w:pPr>
      <w:r>
        <w:rPr>
          <w:rFonts w:ascii="Arial" w:cs="Arial" w:eastAsia="Arial" w:hAnsi="Arial"/>
          <w:sz w:val="22"/>
          <w:szCs w:val="22"/>
        </w:rPr>
        <w:t xml:space="preserve">Los resultados al cierre demuestran que el consumo efectivo del fondo de contingencia no superó el 40% de la reserva aprobada. Esto no indica que el modelo fue sobredimensionado: indica que las acciones preventivas ejecutadas oportunamente redujeron la materialización de los escenarios pesimistas. Recomendación: El valor real del modelo Monte Carlo no es predecir el gasto, sino justificar la inversión en prevención ante la gerencia financiera.</w:t>
      </w:r>
    </w:p>
    <w:p>
      <w:r>
        <w:br w:type="page"/>
      </w:r>
    </w:p>
    <w:p>
      <w:pPr>
        <w:pStyle w:val="Heading1"/>
        <w:pBdr>
          <w:bottom w:val="single" w:color="2E6DA4" w:sz="8" w:space="4"/>
        </w:pBdr>
        <w:spacing w:after="160" w:before="320"/>
      </w:pPr>
      <w:r>
        <w:rPr>
          <w:rFonts w:ascii="Arial" w:cs="Arial" w:eastAsia="Arial" w:hAnsi="Arial"/>
          <w:b/>
          <w:bCs/>
          <w:color w:val="1B3A6B"/>
          <w:sz w:val="32"/>
          <w:szCs w:val="32"/>
        </w:rPr>
        <w:t xml:space="preserve">3. CONCLUSIONES Y RECOMENDACIONES FINALES</w:t>
      </w:r>
    </w:p>
    <w:p>
      <w:pPr>
        <w:spacing w:after="80" w:before="60"/>
        <w:jc w:val="both"/>
      </w:pPr>
      <w:r>
        <w:rPr>
          <w:rFonts w:ascii="Arial" w:cs="Arial" w:eastAsia="Arial" w:hAnsi="Arial"/>
          <w:sz w:val="22"/>
          <w:szCs w:val="22"/>
        </w:rPr>
        <w:t xml:space="preserve">El Plan de Gestión de Riesgos del Proyecto TITAN ha demostrado de forma concluyente que la gestión sistemática y cuantitativa de riesgos no solo protege el presupuesto y el cronograma de un proyecto tecnológico, sino que constituye el factor diferenciador entre una integración tecnológica exitosa y un fracaso operacional de alto costo.</w:t>
      </w:r>
    </w:p>
    <w:p>
      <w:pPr>
        <w:spacing w:after="0" w:before="60"/>
      </w:pPr>
      <w:r>
        <w:t xml:space="preserve"/>
      </w:r>
    </w:p>
    <w:p>
      <w:pPr>
        <w:spacing w:after="80" w:before="60"/>
        <w:jc w:val="both"/>
      </w:pPr>
      <w:r>
        <w:rPr>
          <w:rFonts w:ascii="Arial" w:cs="Arial" w:eastAsia="Arial" w:hAnsi="Arial"/>
          <w:sz w:val="22"/>
          <w:szCs w:val="22"/>
        </w:rPr>
        <w:t xml:space="preserve">Las conclusiones finales del ciclo completo (Informes 1, 2 y 3) se sintetizan en tres ejes estratégicos:</w:t>
      </w:r>
    </w:p>
    <w:p>
      <w:pPr>
        <w:spacing w:after="0" w:before="40"/>
      </w:pPr>
      <w:r>
        <w:t xml:space="preserve"/>
      </w:r>
    </w:p>
    <w:p>
      <w:pPr>
        <w:pStyle w:val="ListParagraph"/>
        <w:numPr>
          <w:ilvl w:val="0"/>
          <w:numId w:val="2"/>
        </w:numPr>
        <w:spacing w:after="40" w:before="40"/>
        <w:jc w:val="both"/>
      </w:pPr>
      <w:r>
        <w:rPr>
          <w:rFonts w:ascii="Arial" w:cs="Arial" w:eastAsia="Arial" w:hAnsi="Arial"/>
          <w:b/>
          <w:bCs/>
          <w:sz w:val="22"/>
          <w:szCs w:val="22"/>
        </w:rPr>
        <w:t xml:space="preserve">Eje 1 — Reducción de Exposición al Riesgo: </w:t>
      </w:r>
      <w:r>
        <w:rPr>
          <w:rFonts w:ascii="Arial" w:cs="Arial" w:eastAsia="Arial" w:hAnsi="Arial"/>
          <w:sz w:val="22"/>
          <w:szCs w:val="22"/>
        </w:rPr>
        <w:t xml:space="preserve">El perfil de riesgos del Proyecto TITAN, dominado en un 63% por amenazas tecnológicas (IoT y API SCADA), exigía un plan de mitigación con fuerte componente técnico y gobernanza contractual. Ambas dimensiones fueron abordadas con éxito, logrando una reducción promedio del 84% en la exposición al riesgo agregada medida por Probabilidad × Impacto.</w:t>
      </w:r>
    </w:p>
    <w:p>
      <w:pPr>
        <w:pStyle w:val="ListParagraph"/>
        <w:numPr>
          <w:ilvl w:val="0"/>
          <w:numId w:val="2"/>
        </w:numPr>
        <w:spacing w:after="40" w:before="40"/>
        <w:jc w:val="both"/>
      </w:pPr>
      <w:r>
        <w:rPr>
          <w:rFonts w:ascii="Arial" w:cs="Arial" w:eastAsia="Arial" w:hAnsi="Arial"/>
          <w:b/>
          <w:bCs/>
          <w:sz w:val="22"/>
          <w:szCs w:val="22"/>
        </w:rPr>
        <w:t xml:space="preserve">Eje 2 — Eficiencia del Fondo de Contingencia: </w:t>
      </w:r>
      <w:r>
        <w:rPr>
          <w:rFonts w:ascii="Arial" w:cs="Arial" w:eastAsia="Arial" w:hAnsi="Arial"/>
          <w:sz w:val="22"/>
          <w:szCs w:val="22"/>
        </w:rPr>
        <w:t xml:space="preserve">La Reserva de Contingencia de $9.054.000 CLP, dimensionada mediante la Simulación Monte Carlo con 1.000 iteraciones, absorbió los eventos de materialización de riesgo (ataque MITM, corrección de MINERATEK, reemplazo de sensor IoT) sin superar el 40% de su valor total, validando la solidez del modelo estadístico utilizado.</w:t>
      </w:r>
    </w:p>
    <w:p>
      <w:pPr>
        <w:pStyle w:val="ListParagraph"/>
        <w:numPr>
          <w:ilvl w:val="0"/>
          <w:numId w:val="2"/>
        </w:numPr>
        <w:spacing w:after="40" w:before="40"/>
        <w:jc w:val="both"/>
      </w:pPr>
      <w:r>
        <w:rPr>
          <w:rFonts w:ascii="Arial" w:cs="Arial" w:eastAsia="Arial" w:hAnsi="Arial"/>
          <w:b/>
          <w:bCs/>
          <w:sz w:val="22"/>
          <w:szCs w:val="22"/>
        </w:rPr>
        <w:t xml:space="preserve">Eje 3 — Madurez Organizacional en Gestión de Riesgos: </w:t>
      </w:r>
      <w:r>
        <w:rPr>
          <w:rFonts w:ascii="Arial" w:cs="Arial" w:eastAsia="Arial" w:hAnsi="Arial"/>
          <w:sz w:val="22"/>
          <w:szCs w:val="22"/>
        </w:rPr>
        <w:t xml:space="preserve">La implementación del Panel de KRI, la Matriz RACI con MINERATEK Ltda. y el proceso de capacitación a operarios establecen una base de madurez en gestión de riesgos que NovaMining S.A. puede replicar y escalar en futuros proyectos de transformación digital minera.</w:t>
      </w:r>
    </w:p>
    <w:p>
      <w:pPr>
        <w:spacing w:after="0" w:before="80"/>
      </w:pPr>
      <w:r>
        <w:t xml:space="preserve"/>
      </w:r>
    </w:p>
    <w:p>
      <w:pPr>
        <w:pStyle w:val="Heading2"/>
        <w:spacing w:after="120" w:before="240"/>
      </w:pPr>
      <w:r>
        <w:rPr>
          <w:rFonts w:ascii="Arial" w:cs="Arial" w:eastAsia="Arial" w:hAnsi="Arial"/>
          <w:b/>
          <w:bCs/>
          <w:color w:val="2E6DA4"/>
          <w:sz w:val="26"/>
          <w:szCs w:val="26"/>
        </w:rPr>
        <w:t xml:space="preserve">Recomendaciones Finales para NovaMining S.A.</w:t>
      </w:r>
    </w:p>
    <w:p>
      <w:pPr>
        <w:pStyle w:val="ListParagraph"/>
        <w:numPr>
          <w:ilvl w:val="0"/>
          <w:numId w:val="2"/>
        </w:numPr>
        <w:spacing w:after="40" w:before="40"/>
        <w:jc w:val="both"/>
      </w:pPr>
      <w:r>
        <w:rPr>
          <w:rFonts w:ascii="Arial" w:cs="Arial" w:eastAsia="Arial" w:hAnsi="Arial"/>
          <w:b/>
          <w:bCs/>
          <w:sz w:val="22"/>
          <w:szCs w:val="22"/>
        </w:rPr>
        <w:t xml:space="preserve">Continuidad del Monitoreo: </w:t>
      </w:r>
      <w:r>
        <w:rPr>
          <w:rFonts w:ascii="Arial" w:cs="Arial" w:eastAsia="Arial" w:hAnsi="Arial"/>
          <w:sz w:val="22"/>
          <w:szCs w:val="22"/>
        </w:rPr>
        <w:t xml:space="preserve">Mantener el Panel de KRI activo durante la fase de operación sostenida del sistema IoT-SCADA, con revisión mensual en lugar de quincenal una vez estabilizado el sistema.</w:t>
      </w:r>
    </w:p>
    <w:p>
      <w:pPr>
        <w:pStyle w:val="ListParagraph"/>
        <w:numPr>
          <w:ilvl w:val="0"/>
          <w:numId w:val="2"/>
        </w:numPr>
        <w:spacing w:after="40" w:before="40"/>
        <w:jc w:val="both"/>
      </w:pPr>
      <w:r>
        <w:rPr>
          <w:rFonts w:ascii="Arial" w:cs="Arial" w:eastAsia="Arial" w:hAnsi="Arial"/>
          <w:b/>
          <w:bCs/>
          <w:sz w:val="22"/>
          <w:szCs w:val="22"/>
        </w:rPr>
        <w:t xml:space="preserve">Estandarización Contractual: </w:t>
      </w:r>
      <w:r>
        <w:rPr>
          <w:rFonts w:ascii="Arial" w:cs="Arial" w:eastAsia="Arial" w:hAnsi="Arial"/>
          <w:sz w:val="22"/>
          <w:szCs w:val="22"/>
        </w:rPr>
        <w:t xml:space="preserve">Incorporar las cláusulas técnicas de seguridad (estándar de cifrado mínimo AES-256, protocolo de auditoría semestral) como anexo estándar en todos los contratos futuros con proveedores de software industrial.</w:t>
      </w:r>
    </w:p>
    <w:p>
      <w:pPr>
        <w:pStyle w:val="ListParagraph"/>
        <w:numPr>
          <w:ilvl w:val="0"/>
          <w:numId w:val="2"/>
        </w:numPr>
        <w:spacing w:after="40" w:before="40"/>
        <w:jc w:val="both"/>
      </w:pPr>
      <w:r>
        <w:rPr>
          <w:rFonts w:ascii="Arial" w:cs="Arial" w:eastAsia="Arial" w:hAnsi="Arial"/>
          <w:b/>
          <w:bCs/>
          <w:sz w:val="22"/>
          <w:szCs w:val="22"/>
        </w:rPr>
        <w:t xml:space="preserve">Gestión del Conocimiento: </w:t>
      </w:r>
      <w:r>
        <w:rPr>
          <w:rFonts w:ascii="Arial" w:cs="Arial" w:eastAsia="Arial" w:hAnsi="Arial"/>
          <w:sz w:val="22"/>
          <w:szCs w:val="22"/>
        </w:rPr>
        <w:t xml:space="preserve">Formalizar un repositorio institucional de lecciones aprendidas basado en el registro de este proyecto, accesible para los equipos de Seguridad TI e Innovación ante futuros proyectos de integración tecnológica.</w:t>
      </w:r>
    </w:p>
    <w:p>
      <w:pPr>
        <w:pStyle w:val="ListParagraph"/>
        <w:numPr>
          <w:ilvl w:val="0"/>
          <w:numId w:val="2"/>
        </w:numPr>
        <w:spacing w:after="40" w:before="40"/>
        <w:jc w:val="both"/>
      </w:pPr>
      <w:r>
        <w:rPr>
          <w:rFonts w:ascii="Arial" w:cs="Arial" w:eastAsia="Arial" w:hAnsi="Arial"/>
          <w:b/>
          <w:bCs/>
          <w:sz w:val="22"/>
          <w:szCs w:val="22"/>
        </w:rPr>
        <w:t xml:space="preserve">Escalabilidad del Modelo: </w:t>
      </w:r>
      <w:r>
        <w:rPr>
          <w:rFonts w:ascii="Arial" w:cs="Arial" w:eastAsia="Arial" w:hAnsi="Arial"/>
          <w:sz w:val="22"/>
          <w:szCs w:val="22"/>
        </w:rPr>
        <w:t xml:space="preserve">Evaluar la expansión del modelo de monitoreo predictivo a otras faenas mineras con infraestructura IoT compatible, aprovechando la experiencia técnica y los protocolos de seguridad ya validados por el Proyecto TITAN.</w:t>
      </w:r>
    </w:p>
    <w:p>
      <w:pPr>
        <w:spacing w:after="0" w:before="80"/>
      </w:pPr>
      <w:r>
        <w:t xml:space="preserve"/>
      </w:r>
    </w:p>
    <w:p>
      <w:pPr>
        <w:spacing w:after="80" w:before="60"/>
        <w:jc w:val="both"/>
      </w:pPr>
      <w:r>
        <w:rPr>
          <w:rFonts w:ascii="Arial" w:cs="Arial" w:eastAsia="Arial" w:hAnsi="Arial"/>
          <w:b/>
          <w:bCs/>
          <w:color w:val="1B3A6B"/>
          <w:sz w:val="22"/>
          <w:szCs w:val="22"/>
        </w:rPr>
        <w:t xml:space="preserve">La implementación de las matrices de mitigación y la estructura RACI transforma la incertidumbre en ventaja competitiva, habilitando a NovaMining S.A. hacia la minería predictiva y la transformación digital segura y sostenible.</w:t>
      </w:r>
    </w:p>
    <w:p>
      <w:r>
        <w:br w:type="page"/>
      </w:r>
    </w:p>
    <w:p>
      <w:pPr>
        <w:pStyle w:val="Heading1"/>
        <w:pBdr>
          <w:bottom w:val="single" w:color="2E6DA4" w:sz="8" w:space="4"/>
        </w:pBdr>
        <w:spacing w:after="160" w:before="320"/>
      </w:pPr>
      <w:r>
        <w:rPr>
          <w:rFonts w:ascii="Arial" w:cs="Arial" w:eastAsia="Arial" w:hAnsi="Arial"/>
          <w:b/>
          <w:bCs/>
          <w:color w:val="1B3A6B"/>
          <w:sz w:val="32"/>
          <w:szCs w:val="32"/>
        </w:rPr>
        <w:t xml:space="preserve">4. BIBLIOGRAFÍA (FORMATO APA)</w:t>
      </w:r>
    </w:p>
    <w:p>
      <w:pPr>
        <w:spacing w:after="0" w:before="60"/>
      </w:pPr>
      <w:r>
        <w:t xml:space="preserve"/>
      </w:r>
    </w:p>
    <w:p>
      <w:pPr>
        <w:spacing w:after="80" w:before="60"/>
        <w:jc w:val="both"/>
      </w:pPr>
      <w:r>
        <w:rPr>
          <w:rFonts w:ascii="Arial" w:cs="Arial" w:eastAsia="Arial" w:hAnsi="Arial"/>
          <w:sz w:val="22"/>
          <w:szCs w:val="22"/>
        </w:rPr>
        <w:t xml:space="preserve">Hillson, D. (2014). Managing Risk in Projects. Routledge.</w:t>
      </w:r>
    </w:p>
    <w:p>
      <w:pPr>
        <w:spacing w:after="0" w:before="40"/>
      </w:pPr>
      <w:r>
        <w:t xml:space="preserve"/>
      </w:r>
    </w:p>
    <w:p>
      <w:pPr>
        <w:spacing w:after="80" w:before="60"/>
        <w:jc w:val="both"/>
      </w:pPr>
      <w:r>
        <w:rPr>
          <w:rFonts w:ascii="Arial" w:cs="Arial" w:eastAsia="Arial" w:hAnsi="Arial"/>
          <w:sz w:val="22"/>
          <w:szCs w:val="22"/>
        </w:rPr>
        <w:t xml:space="preserve">Project Management Institute. (2017). A Guide to the Project Management Body of Knowledge (PMBOK Guide) (6th ed.). Project Management Institute.</w:t>
      </w:r>
    </w:p>
    <w:p>
      <w:pPr>
        <w:spacing w:after="0" w:before="40"/>
      </w:pPr>
      <w:r>
        <w:t xml:space="preserve"/>
      </w:r>
    </w:p>
    <w:p>
      <w:pPr>
        <w:spacing w:after="80" w:before="60"/>
        <w:jc w:val="both"/>
      </w:pPr>
      <w:r>
        <w:rPr>
          <w:rFonts w:ascii="Arial" w:cs="Arial" w:eastAsia="Arial" w:hAnsi="Arial"/>
          <w:sz w:val="22"/>
          <w:szCs w:val="22"/>
        </w:rPr>
        <w:t xml:space="preserve">International Organization for Standardization. (2018). ISO 31000:2018 — Risk management: Guidelines. ISO.</w:t>
      </w:r>
    </w:p>
    <w:p>
      <w:pPr>
        <w:spacing w:after="0" w:before="40"/>
      </w:pPr>
      <w:r>
        <w:t xml:space="preserve"/>
      </w:r>
    </w:p>
    <w:p>
      <w:pPr>
        <w:spacing w:after="80" w:before="60"/>
        <w:jc w:val="both"/>
      </w:pPr>
      <w:r>
        <w:rPr>
          <w:rFonts w:ascii="Arial" w:cs="Arial" w:eastAsia="Arial" w:hAnsi="Arial"/>
          <w:sz w:val="22"/>
          <w:szCs w:val="22"/>
        </w:rPr>
        <w:t xml:space="preserve">Vose, D. (2008). Risk Analysis: A Quantitative Guide (3rd ed.). John Wiley &amp; Sons.</w:t>
      </w:r>
    </w:p>
    <w:p>
      <w:pPr>
        <w:spacing w:after="0" w:before="40"/>
      </w:pPr>
      <w:r>
        <w:t xml:space="preserve"/>
      </w:r>
    </w:p>
    <w:p>
      <w:pPr>
        <w:spacing w:after="80" w:before="60"/>
        <w:jc w:val="both"/>
      </w:pPr>
      <w:r>
        <w:rPr>
          <w:rFonts w:ascii="Arial" w:cs="Arial" w:eastAsia="Arial" w:hAnsi="Arial"/>
          <w:sz w:val="22"/>
          <w:szCs w:val="22"/>
        </w:rPr>
        <w:t xml:space="preserve">NIST. (2018). Framework for Improving Critical Infrastructure Cybersecurity (Version 1.1). National Institute of Standards and Technology. https://www.nist.gov/cyberframework</w:t>
      </w:r>
    </w:p>
    <w:p>
      <w:pPr>
        <w:spacing w:after="0" w:before="40"/>
      </w:pPr>
      <w:r>
        <w:t xml:space="preserve"/>
      </w:r>
    </w:p>
    <w:p>
      <w:pPr>
        <w:spacing w:after="80" w:before="60"/>
        <w:jc w:val="both"/>
      </w:pPr>
      <w:r>
        <w:rPr>
          <w:rFonts w:ascii="Arial" w:cs="Arial" w:eastAsia="Arial" w:hAnsi="Arial"/>
          <w:sz w:val="22"/>
          <w:szCs w:val="22"/>
        </w:rPr>
        <w:t xml:space="preserve">Cano, J. J. (2011). Computación forense: Descubriendo los rastros informáticos. Alfaomega.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tabs>
        <w:tab w:val="right" w:pos="9026"/>
      </w:tabs>
      <w:spacing w:after="0" w:before="80"/>
    </w:pPr>
    <w:r>
      <w:rPr>
        <w:rFonts w:ascii="Arial" w:cs="Arial" w:eastAsia="Arial" w:hAnsi="Arial"/>
        <w:color w:val="888888"/>
        <w:sz w:val="18"/>
        <w:szCs w:val="18"/>
      </w:rPr>
      <w:t xml:space="preserve">GPY7111 — Gestión de Riesgos  |  Carlos Viera, Renato Reinoso</w:t>
    </w:r>
    <w:r>
      <w:rPr>
        <w:sz w:val="18"/>
        <w:szCs w:val="18"/>
      </w:rPr>
      <w:t xml:space="preserve">	</w:t>
    </w:r>
    <w:r>
      <w:rPr>
        <w:rFonts w:ascii="Arial" w:cs="Arial" w:eastAsia="Arial" w:hAnsi="Arial"/>
        <w:color w:val="888888"/>
        <w:sz w:val="18"/>
        <w:szCs w:val="18"/>
      </w:rPr>
      <w:t xml:space="preserve">Gestión de Riesgos GPY7111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4"/>
      </w:pBdr>
      <w:tabs>
        <w:tab w:val="right" w:pos="9026"/>
      </w:tabs>
      <w:spacing w:after="80" w:before="0"/>
    </w:pPr>
    <w:r>
      <w:rPr>
        <w:rFonts w:ascii="Arial" w:cs="Arial" w:eastAsia="Arial" w:hAnsi="Arial"/>
        <w:color w:val="2E6DA4"/>
        <w:sz w:val="18"/>
        <w:szCs w:val="18"/>
      </w:rPr>
      <w:t xml:space="preserve">PROYECTO TITAN  —  Plan de Gestión de Riesgos  |  Informe 3</w:t>
    </w:r>
    <w:r>
      <w:rPr>
        <w:sz w:val="18"/>
        <w:szCs w:val="18"/>
      </w:rPr>
      <w:t xml:space="preserve">	</w:t>
    </w:r>
    <w:r>
      <w:rPr>
        <w:rFonts w:ascii="Arial" w:cs="Arial" w:eastAsia="Arial" w:hAnsi="Arial"/>
        <w:b/>
        <w:bCs/>
        <w:color w:val="1B3A6B"/>
        <w:sz w:val="18"/>
        <w:szCs w:val="18"/>
      </w:rPr>
      <w:t xml:space="preserve">NovaMining 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2026-06-16T21:37:37.699Z</dcterms:created>
  <dcterms:modified xsi:type="dcterms:W3CDTF">2026-06-16T21:37:37.699Z</dcterms:modified>
</cp:coreProperties>
</file>

<file path=docProps/custom.xml><?xml version="1.0" encoding="utf-8"?>
<Properties xmlns="http://schemas.openxmlformats.org/officeDocument/2006/custom-properties" xmlns:vt="http://schemas.openxmlformats.org/officeDocument/2006/docPropsVTypes"/>
</file>