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pPr>
        <w:pStyle w:val="Heading1"/>
        <w:spacing w:after="240" w:before="480" w:lineRule="auto"/>
        <w:rPr/>
      </w:pPr>
      <w:r>
        <w:t xml:space="preserve">Resumen</w:t>
      </w:r>
    </w:p>
    <w:p>
      <w:pPr>
        <w:pStyle w:val="Heading1"/>
        <w:spacing w:after="240" w:before="480" w:lineRule="auto"/>
        <w:rPr/>
      </w:pPr>
      <w:r>
        <w:t xml:space="preserve">Esta tesis formaliza, sobre la superficie de un horn torus, un modelo estructural del aparato psíquico en la articulación entre la metapsicología freudiana (1895–1926) y la topología lacaniana del nudo (1974-1977). El modelo computacional asociado —implementado y verificable— calcula invariantes topológicos y geométricos reales (característica de Euler, homología de grado 1, curvatura gaussiana en puntos críticos) sobre una superficie cuya deformación está regulada por el vector psicométrico SCL-90-R de Casullo–Pérez.</w:t>
      </w:r>
    </w:p>
    <w:p>
      <w:pPr>
        <w:pStyle w:val="Heading1"/>
        <w:spacing w:after="240" w:before="480" w:lineRule="auto"/>
        <w:rPr/>
      </w:pPr>
      <w:r>
        <w:t xml:space="preserve">La operación que el modelo realiza no es una medición: es una LECTURA. Los puntajes del SCL-90-R son, por axioma (§6.2), una letra ya escrita —publicada, verificable, no inferida—; lo que el modelo produce no es una inferencia de estructura clínica, sino una descodificación de superficie. La §6.3 desarrolla esta posición tomando a Joyce como paradigma epistemológico: la epifanía como homología (no representación), el sinthome como axioma que funciona sin validación, la circularidad del Wake como circularidad topológica y no epistémica.</w:t>
      </w:r>
    </w:p>
    <w:p>
      <w:pPr>
        <w:pStyle w:val="Heading1"/>
        <w:spacing w:after="240" w:before="480" w:lineRule="auto"/>
        <w:rPr/>
      </w:pPr>
      <w:r>
        <w:t xml:space="preserve">El Axioma 2, rearticulado en V47, define dos configuraciones por la relación entre los soportes de las series y el estatuto modal de Σ: (a) neurosis — soportes en superposición, Σ contingente— y (b) Border — soportes disjuntos con trecho, Σ exigida—; el Corolario II (Umbau) queda condicional a (b). El anudamiento se relee como régimen modal de Σ y no como estructura de enlace (§4.8). La tesis declara explícitamente sus tres límites — el anudamiento borromeo, la definición del sinthome, la transición topológica horn torus → esfera (χ = 1 → χ = 2) — como contorno del programa y no como deuda.</w:t>
      </w:r>
    </w:p>
    <w:p>
      <w:pPr>
        <w:pStyle w:val="Heading1"/>
        <w:spacing w:after="240" w:before="480" w:lineRule="auto"/>
        <w:rPr/>
      </w:pPr>
      <w:r>
        <w:t xml:space="preserve">Palabras clave: topología del inconsciente, horn torus, nudo borromeo, sinthome, SCL-90-R, Joyce, LECTURA, BME.</w:t>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pPr>
        <w:pStyle w:val="Heading2"/>
        <w:spacing w:after="160" w:before="360" w:lineRule="auto"/>
        <w:rPr/>
      </w:pPr>
      <w:r>
        <w:t xml:space="preserve">4.8 Rearticulación del anudamiento: el borromeo como régimen modal de Σ</w:t>
      </w:r>
    </w:p>
    <w:p>
      <w:pPr>
        <w:spacing w:after="240" w:before="120" w:line="276" w:lineRule="auto"/>
        <w:ind w:left="260" w:firstLine="0"/>
        <w:jc w:val="both"/>
        <w:rPr/>
      </w:pPr>
      <w:r>
        <w:t xml:space="preserve">a) Lo que el modelo no necesita. Un anudamiento borromeo es una configuración fija: tres componentes que se sostienen mutuamente, de modo que al retirar cualquiera los otros dos se separan. Su fuerza está en la estructura del enlace: la consistencia del conjunto depende de que la configuración sea la que es. Formalizar a S, I y Σ como el enlace L6a4 de la sección §4.7 (punto 4) exige mostrar que los tres soportes —no las series (§4.7, punto 4)— están efectivamente anudados de ese modo sobre la superficie del modelo, y que ningún par se separa. La tesis no ha demostrado eso. Esta sección sostiene, en contra de la lectura obvia del PENDIENTE (β), que no le hace falta.</w:t>
      </w:r>
    </w:p>
    <w:p>
      <w:pPr>
        <w:spacing w:after="240" w:before="120" w:line="276" w:lineRule="auto"/>
        <w:ind w:left="260" w:firstLine="0"/>
        <w:jc w:val="both"/>
        <w:rPr/>
      </w:pPr>
      <w:r>
        <w:t xml:space="preserve">b) La razón. La rearticulación del Axioma 2 (V47 — propuesta adoptada, Capítulo 5) define la configuración por la relación entre los soportes de las dos series (superposición en (a), trecho en (b)) y por el estatuto modal de la operación Σ (contingente en (a), exigida en (b)). El anudamiento, en este marco, no se lee como estructura de nudo sino como régimen de operación. La pregunta «¿forman S, I y Σ un borromeo?» se sustituye por la pregunta «¿bajo qué modalidad opera Σ en cada configuración?»; la respuesta es la que V47 da. En (a) Σ puede no operar y la consistencia de las cadenas se sostiene igual, porque la correspondencia entre la serie significante y la serie imaginaria es de origen, anterior a cualquier evento. En (b) la cadena no cierra por sí sola, y la consistencia requiere que Σ opere: la operación provee aquí la cohesión que la correspondencia de origen no da.</w:t>
      </w:r>
    </w:p>
    <w:p>
      <w:pPr>
        <w:spacing w:after="240" w:before="120" w:line="276" w:lineRule="auto"/>
        <w:ind w:left="260" w:firstLine="0"/>
        <w:jc w:val="both"/>
        <w:rPr/>
      </w:pPr>
      <w:r>
        <w:t xml:space="preserve">c) Joyce re-ejemplificado. El caso Joyce (§6.5) deja de leerse como ejemplo de un anudamiento borromeo logrado —no hay cuarto anillo que complete el nudo— y pasa a leerse como paradigma de consistencia sostenida por la operación, no por la configuración: su escritura no restaura el Nombre-del-Padre ausente, lo suple haciendo de su nombre propio su ego (R.S.I.; lectura secundaria, cotejo en espera), y el sinthome no valida esa operación: la sostiene. Joyce es el paradigma de la estructura (b): trecho en los soportes, Σ exigida en acto.</w:t>
      </w:r>
    </w:p>
    <w:p>
      <w:pPr>
        <w:spacing w:after="240" w:before="120" w:line="276" w:lineRule="auto"/>
        <w:ind w:left="260" w:firstLine="0"/>
        <w:jc w:val="both"/>
        <w:rPr/>
      </w:pPr>
      <w:r>
        <w:t xml:space="preserve">d) La distinción del §4.7 queda justificada, no arreglada. La exclusión que V46 introdujo —el no-borromeo sobre Ding vale de los soportes, no de las series— no era un ajuste técnico: era el reconocimiento de que el anudamiento no es una propiedad de los contenidos (las series de VR inscritas, Axioma 1), sino del modo en que los soportes se relacionan y Σ opera sobre ellos. La consistencia es relacional, no estructural en el sentido del nudo. El borromeo no se abandona por impotencia del aparato: se abandona como tesis sobre la naturaleza del enlace y se retiene como cuestión abierta para la revisión topológica declarada. Esa es una tesis sobre el psicoanálisis, no sobre la topología de nudos; y es la que el prototipo computacional está sosteniendo en su código: el conmutador de la configuración (a)/(b) en la interfaz no altera el cálculo de nudos; altera la lectura del régimen de Σ sobre las cadenas.</w:t>
      </w:r>
    </w:p>
    <w:p>
      <w:pPr>
        <w:spacing w:after="240" w:before="120" w:line="276" w:lineRule="auto"/>
        <w:ind w:left="260" w:firstLine="0"/>
        <w:jc w:val="both"/>
        <w:rPr/>
      </w:pPr>
      <w:r>
        <w:t xml:space="preserve">e) Consecuencias doctrinales y alcance, declaradas (i)–(iv): (i) el PENDIENTE (β) de las versiones anteriores deja de estar en suspenso: la tesis sostiene que el anudamiento debe formularse a partir del régimen modal de Σ — tomando como única base la operación sobre las cadenas ya adoptada en el Axioma 2 (V47) —, sin que ningún otro recurso técnico se requiera. (ii) Lo que esta sección no da: ninguna derivación formal nueva — la distinción entre la operación que se rige por correspondencia de origen (a) y la que se rige por el encadenamiento propio (b) se lee de los invariantes ya declarados (χ, H₁, la cinta sobre la cara interna de X), y no se calcula desde una geometría adicional. (iii) El contenido de la operación —qué elige Σ, bajo qué criterio une o separa— queda en espera de la tarea (11): esta sección fija su marco modal, no su contenido. (iv) La rearticulación no se presenta como un teorema sobre el enlace L6a4, sino como el estatuto axiomático que sostiene la operación, el mismo estatuto que la tesis declara para toda su arquitectura (Capítulos 5 y 6).</w:t>
      </w:r>
    </w:p>
    <w:p>
      <w:pPr>
        <w:spacing w:after="240" w:before="120" w:line="276" w:lineRule="auto"/>
        <w:ind w:left="260" w:firstLine="0"/>
        <w:jc w:val="both"/>
        <w:rPr/>
      </w:pPr>
      <w:r>
        <w:t xml:space="preserve">Advertencia metodológica: esta sección no agrega una medición; agrega una decisión doctrinal, y su alcance es estrictamente epistemológico. Consistente con el §4.7, los términos geométricos análogos se usan, en cada caso, en el sentido declarado de cada modelo, el cambio de base se declara y no se compensa por el préstamo tácito, y el capítulo no autoriza un sucedáneo topológico del borromeo. En este sentido, la formulación «régimen modal de Σ» no es un sucedáneo del borromeo: es su decisión doctrinal propia, una DECLARACIÓN del modelo, no un teorema ni una medición. El modelo calcula, no mide (§6.2): ninguna consecuencia clínica le sigue directamente de esta articulación, y la distancia entre declaración y medición queda reglada por la BME (§6.2). Queda en espera, como material para el Capítulo 7, la revisión por un topólogo (tarea (10) de la sección C7).</w:t>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queda PENDIENTE de rearticulación (Axioma 1, Advertencia metodológica).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queda PENDIENTE;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No se los toca ni se los redefine en este axioma: quedan PENDIENTE de rearticulación, por decisión explícita de no definir todavía el sinthome. El contenido que sigue —Precisión del autor, la cita del Seminario XXIII y la Posible objeción sobre R— se conserva tal como estaba, como material en espera para cuando esa rearticulación se haga,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sigue PENDIENTE. La formalización de las configuraciones en M_L queda como material secundario en espera —el enlace directo S-I en (a), el borromeo genérico con Σ como abrazadera en (b),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queda PENDIENTE de rearticulación (ver Axioma 1, Advertencia metodológica);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queda —junto con el Axioma 2— PENDIENTE de rearticulación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3 y 4 —con hueco declarado en el 2, retirado tras la V41 (ver Advertencia metodológica, Axioma 1)—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queda PENDIENTE de rearticulación junto con él;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pPr>
        <w:spacing w:after="200" w:line="300" w:lineRule="auto"/>
        <w:jc w:val="both"/>
        <w:rPr/>
      </w:pPr>
      <w:r>
        <w:t xml:space="preserve">Cierre metodológico</w:t>
      </w:r>
    </w:p>
    <w:p>
      <w:pPr>
        <w:spacing w:after="200" w:line="300" w:lineRule="auto"/>
        <w:jc w:val="both"/>
        <w:rPr/>
      </w:pPr>
      <w:r>
        <w:t xml:space="preserve">Esta tesis no cierra el campo que abre: lo declara. Tres cuestiones quedan explícitamente abiertas y se enumeran aquí, no como deudas sino como el contorno del programa de trabajo del Capítulo 7.</w:t>
      </w:r>
    </w:p>
    <w:p>
      <w:pPr>
        <w:spacing w:after="200" w:line="300" w:lineRule="auto"/>
        <w:jc w:val="both"/>
        <w:rPr/>
      </w:pPr>
      <w:r>
        <w:t xml:space="preserve">(A) Lo que este trabajo no resuelve — el anudamiento del borromeo. La tesis no demuestra que los soportes S, I y Σ formen el enlace L6a4: la rearticulación del Axioma 2 (V47) desplaza esa pregunta hacia la modalidad de Σ (§4.8), y el borromeo queda como material en espera de la tarea (11). Que el anudamiento se lea por la modalidad de la operación y no por la estructura del enlace es un resultado, no una carencia: la consistencia del sujeto no depende de una configuración fija de nudos, sino del modo en que Σ opera.</w:t>
      </w:r>
    </w:p>
    <w:p>
      <w:pPr>
        <w:spacing w:after="200" w:line="300" w:lineRule="auto"/>
        <w:jc w:val="both"/>
        <w:rPr/>
      </w:pPr>
      <w:r>
        <w:t xml:space="preserve">(B) El sinthome. La tesis no define el sinthome; lee su función —anudar sin garantía— y la formaliza como la modalidad exigida de Σ (§4.8). La definición del término queda como material en espera de la tarea (11): el cotejo de las consultas de R.S.I. y del Seminario XXIII sobre las copias primarias del autor sigue pendiente. El caso Joyce queda como paradigma epistemológico de la operación (§6.3, §6.5), no como caso clínico: la epifanía es homología, no representación, y la escritura suple y sostiene, no corrige.</w:t>
      </w:r>
    </w:p>
    <w:p>
      <w:pPr>
        <w:spacing w:after="200" w:line="300" w:lineRule="auto"/>
        <w:jc w:val="both"/>
        <w:rPr/>
      </w:pPr>
      <w:r>
        <w:t xml:space="preserve">(C) La transición topológica. El prototipo exhibe que la deformación registrada bajo δ no es solo un cambio de métrica: cierra el agujero de la superficie y la transforma en esfera — vía la separación de las dos hojas que se tocan en el punto de autotangencia p (la voz) —, de modo que χ(X) = 1 (horn torus) se vuelve χ = 2 (esfera) y el generador de H₁(X) = ℤ se anula (§4.7, punto 1). La tesis registra la transición y no la desarrolla: queda como tarea para la línea del Capítulo 7.</w:t>
      </w:r>
    </w:p>
    <w:p>
      <w:pPr>
        <w:spacing w:after="200" w:line="300" w:lineRule="auto"/>
        <w:jc w:val="both"/>
        <w:rPr/>
      </w:pPr>
      <w:r>
        <w:t xml:space="preserve">(D) Los tres pendientes comparten una misma forma: lo que no se cierra no es un fracaso del modelo, es su límite declarado. La tesis vale por lo que sostiene y por lo que sabe que no sostiene, y lo declara como contorno del programa futuro, no como deuda pendiente del presente.</w:t>
      </w:r>
    </w:p>
    <w:p>
      <w:pPr>
        <w:spacing w:after="200" w:line="300" w:lineRule="auto"/>
        <w:jc w:val="both"/>
        <w:rPr/>
      </w:pPr>
      <w:r>
        <w:t xml:space="preserve">6.3 Joyce como paradigma de la LECTURA: la epifanía como homología y el sinthome como axioma</w:t>
      </w:r>
    </w:p>
    <w:p>
      <w:pPr>
        <w:spacing w:after="200" w:line="300" w:lineRule="auto"/>
        <w:jc w:val="both"/>
        <w:rPr/>
      </w:pPr>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pPr>
        <w:spacing w:after="200" w:line="300" w:lineRule="auto"/>
        <w:jc w:val="both"/>
        <w:rPr/>
      </w:pPr>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pPr>
        <w:spacing w:after="200" w:line="300" w:lineRule="auto"/>
        <w:jc w:val="both"/>
        <w:rPr/>
      </w:pPr>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pPr>
        <w:spacing w:after="200" w:line="300" w:lineRule="auto"/>
        <w:jc w:val="both"/>
        <w:rPr/>
      </w:pPr>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pPr>
        <w:spacing w:after="200" w:line="300" w:lineRule="auto"/>
        <w:jc w:val="both"/>
        <w:rPr/>
      </w:pPr>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6.4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queda PENDIENTE de rearticulación y no se afirma como establecida: se conserva como material en espera, con el mismo estatuto que el contenido suspendido del Capítulo 5.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6.5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(§6.4);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§6.3,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§6.5)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