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Horn Torus ICC Model — Escritos completos del ciclo V50</w:t>
      </w:r>
    </w:p>
    <w:p>
      <w:r>
        <w:t xml:space="preserve">**Documento único** con todo el texto escrito por el agente (Buffy / Codebuff) a pedido del Lic. Carlos Vonsik durante el ciclo V50, 12 de octubre de 2026. El ciclo V50 integra **el cambio de marco del autor**: el borromeo pasa de PENDIENTE a **error de categoría** — el borromeo no se demuestra porque no aplica; el «anudamiento» es cobertura de superficie, no enlace de anillos. El objeto topológico del modelo es el horn torus con bandas (S, I, Σ, hilo pulsional) que lo cubren y lo tallan; los invariantes son de superficie (χ, H₁, curvatura gaussiana, partición inducida), no de nudo.</w:t>
      </w:r>
    </w:p>
    <w:p>
      <w:r>
        <w:t xml:space="preserve">Cambios (supersede de V49, fuente intacta):</w:t>
      </w:r>
    </w:p>
    <w:p>
      <w:r>
        <w:t xml:space="preserve">1. **§4.8 reescrita de raíz**: «El anudamiento como cobertura de la    superficie: por qué no hay borromeo» (título + 10 párrafos), en reemplazo    de la §4.8 de V49 («Rearticulación del anudamiento: el borromeo como    régimen modal de Σ», título + 6 párrafos, borrada). 2. **Cierre metodológico reescrito y reubicado**: versión del autor (título +    1 párrafo largo con (i)–(iii)), ahora **al final del Capítulo 7** (tras la    adenda V47 2, antes de «Bibliografía»). En V49 el bloque quedó pegado    tras la BME (antes de la §6.3) — esta reubicación corrige el defecto. 3. **Abstract**: el párrafo del Axioma 2 se reemplaza por la versión    superficie del autor, con la enumeración de los tres límites adaptada. 4. **El aviso de estatuto de la app no cambia** (no menciona el borromeo).</w:t>
      </w:r>
    </w:p>
    <w:p>
      <w:r>
        <w:t xml:space="preserve">---</w:t>
      </w:r>
    </w:p>
    <w:p>
      <w:pPr>
        <w:pStyle w:val="Heading2"/>
      </w:pPr>
      <w:r>
        <w:t xml:space="preserve">0. Qué es la V50 y cómo se produjo</w:t>
      </w:r>
    </w:p>
    <w:p>
      <w:r>
        <w:t xml:space="preserve">- **Fuente:** `tesis_rsi_poincare V49.docx` (3.625.195 bytes, 331 párrafos) — intacta, nunca pisada. - **Generador:** `Claude outputs/gen_v50.py` (zipfile rewrite, patrón `gen_v49.py`; borrado + inserción por párrafo exacto con pPr heredado). - **Resultado:** `tesis_rsi_poincare V50.docx` (3.624.563 bytes, **331 párrafos** = 331 − 7 + 11 − 6 + 2; XML válido). - **Corrección de colocación del cierre (registro del defecto V49):** el Cierre metodológico de V49 se insertó con el ancla «Se conserva el instrumento en este capítulo» (cierre de la BME, §6.2), es decir **antes de la §6.3**, no al final del Capítulo 7. En V50 se eliminó ese bloque y se reinsertó antes del heading «Bibliografía» del cuerpo, tras la adenda V47 2 — posición del pedido original del autor («al final del Capítulo 7, antes de Bibliografía»). - **Supersede de la transición:** el marco de V49 («horn torus → esfera, χ = 1 → χ = 2») queda reemplazado por el del autor («toro liso → horn torus, χ = 0 → χ = 1», colapso del lazo longitudinal: horn torus = T²/λ, de χ = 0 a χ = 1). Consistente con §4.7 punto 1.</w:t>
      </w:r>
    </w:p>
    <w:p>
      <w:r>
        <w:t xml:space="preserve">---</w:t>
      </w:r>
    </w:p>
    <w:p>
      <w:pPr>
        <w:pStyle w:val="Heading2"/>
      </w:pPr>
      <w:r>
        <w:t xml:space="preserve">1. Tesis V50 — la §4.8 nueva versión superficie (texto íntegro)</w:t>
      </w:r>
    </w:p>
    <w:p>
      <w:pPr>
        <w:pStyle w:val="Quote"/>
      </w:pPr>
      <w:r>
        <w:rPr>
          <w:i/>
        </w:rPr>
        <w:t xml:space="preserve">**4.8 El anudamiento como cobertura de la superficie: por qué no hay borromeo**  El modelo declara, desde V28, que S, I y Σ constituyen un anudamiento. La formulación inicial —los tres soportes forman el enlace borromeo L6a4— quedó en espera desde V44. Esta sección argumenta que no debe cerrarse, y que la razón no es una carencia del aparato sino un error de categoría en la pregunta.  Un nudo borromeo es una configuración de tres anillos en S³ que se sostienen mutuamente: al retirar cualquiera, los otros dos se separan. Su fuerza está en la forma del enlace. Pero S, I, Σ no son anillos en S³: son bandas sobre la superficie del horn torus. Una banda es una curva sobre una superficie cerrada, no una curva en el espacio ambiente. Preguntar si S, I y Σ forman un borromeo es preguntar por una propiedad que el objeto no puede tener: no hay anillos que enlazar, no hay complemento S³∖N(L) que calcular, no hay linking numbers que computar.  Lo que S, I, Σ y el hilo pulsional sí hacen es cubrir y tallar la superficie. El «anudamiento» no es una configuración fija de anillos: es el modo en que las bandas se disponen sobre T², la cubren y la dividen. La consistencia del sujeto, en este modelo, no depende de que los anillos estén enlazados de una manera específica; depende de cómo las bandas tallan la superficie y de la modalidad de Σ en cada configuración.  La rearticulación del Axioma 2 (V47) opera precisamente en este registro. Define dos configuraciones por la relación entre los soportes —superposición en (a), trecho en (b)— y por el estatuto modal de Σ —contingente en (a), exigida en (b)—. No describe dos tipos de enlace; describe dos modos de cubrir la superficie y dos modos de operar de Σ. En (a) las bandas se superponen (unión conexa) y Σ puede no operar; en (b) hay trecho entre las bandas y la consistencia requiere que Σ opere.  El caso Joyce se reubica en este marco. Joyce no es el ejemplo de un anudamiento borromeo logrado —no hay cuarto anillo—; es el ejemplo de una consistencia sostenida por la escritura, que cubre y talla la superficie con su propia letra. El sinthome no es un cuarto nudo: es la modalidad exigida de Σ, el modo en que la operación sostiene lo que la configuración no sostiene por sí sola.  Esta lectura tiene tres consecuencias.  Primera. El «anudamiento» deja de ser un objeto que hay que exhibir y se vuelve una propiedad de la cobertura: cómo las bandas cubren T², dónde se cruzan, qué regiones dejan. La topología del modelo es la topología de esa cobertura, no la del enlace de anillos.  Segunda. La distinción de V46 —el no-borromeo sobre Ding vale de los soportes, no de las series— queda justificada sin necesidad de hablar de nudos. Los soportes son bandas sobre la superficie; las series son contenidos inscritos sobre las bandas. La consistencia es de los soportes (de la cobertura), no de las series (de los contenidos).  Tercera. Los invariantes del modelo son invariantes de superficie, no de nudo: χ del horn torus, H₁ del horn torus, energía de Willmore, curvatura gaussiana en puntos críticos, intersecciones de las bandas, partición inducida. La transición χ = 0 → χ = 1 (toro liso → horn torus) es una transición de superficie, no de enlace. El borromeo no se abandona por impotencia: nunca fue el objeto.  Lo que el modelo sostiene es una tesis sobre el psicoanálisis: la consistencia del sujeto no depende de la forma de un enlace, sino del modo en que las bandas cubren y tallan la superficie, y de la modalidad de Σ. Esa tesis está ya en el código del prototipo: configAxioma2 no altera ningún cálculo de nudos —no hay tal cálculo—; altera la disposición de las bandas sobre la superficie.</w:t>
      </w:r>
    </w:p>
    <w:p>
      <w:r>
        <w:t xml:space="preserve">---</w:t>
      </w:r>
    </w:p>
    <w:p>
      <w:pPr>
        <w:pStyle w:val="Heading2"/>
      </w:pPr>
      <w:r>
        <w:t xml:space="preserve">2. Tesis V50 — el Cierre metodológico reescrito y reubicado (texto íntegro)</w:t>
      </w:r>
    </w:p>
    <w:p>
      <w:r>
        <w:t xml:space="preserve">Insertado al final del Capítulo 7 (tras las 3 adendas V47 2, antes de «Bibliografía»), en reemplazo del bloque de V49 (borrado de su posición pegada a la BME):</w:t>
      </w:r>
    </w:p>
    <w:p>
      <w:pPr>
        <w:pStyle w:val="Quote"/>
      </w:pPr>
      <w:r>
        <w:rPr>
          <w:i/>
        </w:rPr>
        <w:t xml:space="preserve">**Cierre metodológico.**  Esta tesis no cierra el campo que abre. Lo declara. Tres cuestiones quedan explícitamente abiertas y conviene enumerarlas aquí, no como deudas sino como el contorno del programa. (i) El anudamiento. La tesis no postula un nudo borromeo: S, I, Σ y el hilo pulsional son bandas sobre la superficie del horn torus que la cubren y la tallan. El «anudamiento» es la cobertura, no el enlace. La rearticulación del Axioma 2 (V47) define dos configuraciones por la relación entre soportes —superposición en (a), trecho en (b)— y por la modalidad de Σ —contingente en (a), exigida en (b)—. Que el anudamiento se lea como cobertura y no como enlace es un resultado, no una carencia. (ii) El sinthome. La tesis no define el sinthome; lee su función —sostener sin garantía— y la formaliza como la modalidad exigida de Σ. La cita del Seminario XXIII queda como material secundario en espera, y el caso Joyce como paradigma epistemológico de la operación (Cap. 6.3). (iii) La transición topológica. El prototipo exhibe que la ruptura —δ ≥ π/6— no es solo una deformación métrica: cierra el agujero de la superficie, hace caer χ de 0 a 1 y elimina un generador de H₁. La tesis registra ese resultado y no lo desarrolla; queda como tarea para la línea del Capítulo 7. Los tres pendientes comparten una misma forma: lo que no se cierra no es un fracaso del modelo, es su límite declarado. La tesis vale por lo que sostiene y por lo que sabe que no sostiene.</w:t>
      </w:r>
    </w:p>
    <w:p>
      <w:r>
        <w:t xml:space="preserve">---</w:t>
      </w:r>
    </w:p>
    <w:p>
      <w:pPr>
        <w:pStyle w:val="Heading2"/>
      </w:pPr>
      <w:r>
        <w:t xml:space="preserve">3. Tesis V50 — el párrafo del abstract reemplazado (texto íntegro)</w:t>
      </w:r>
    </w:p>
    <w:p>
      <w:r>
        <w:t xml:space="preserve">En reemplazo del A3 de V49 (borrado), insertado tras el párrafo A2 («La operación que el modelo realiza…»):</w:t>
      </w:r>
    </w:p>
    <w:p>
      <w:pPr>
        <w:pStyle w:val="Quote"/>
      </w:pPr>
      <w:r>
        <w:rPr>
          <w:i/>
        </w:rPr>
        <w:t xml:space="preserve">El Axioma 2, rearticulado en V47, define dos configuraciones por la relación entre los soportes de las series —bandas sobre la superficie del horn torus que la cubren y la tallan— y por el estatuto modal de Σ: (a) neurosis —superposición de soportes, Σ contingente— y (b) Border —trecho entre soportes, Σ exigida—; el Corolario II (Umbau) queda condicional a (b). El modelo no postula un nudo borromeo: S, I, Σ y el hilo pulsional son bandas que cubren la superficie; la consistencia del sujeto depende del modo de la cobertura y de la modalidad de Σ, no de la forma de un enlace. La tesis declara explícitamente sus tres límites —el anudamiento como cobertura, la definición del sinthome, la transición topológica (χ = 0 → χ = 1)— como contorno del programa y no como deuda.</w:t>
      </w:r>
    </w:p>
    <w:p>
      <w:r>
        <w:t xml:space="preserve">(Ajuste registrado: la frase final de los tres límites del autor («el anudamiento como cobertura…») se deriva de la enumeración de su §4.8; las palabras clave no cambian.)</w:t>
      </w:r>
    </w:p>
    <w:p>
      <w:r>
        <w:t xml:space="preserve">---</w:t>
      </w:r>
    </w:p>
    <w:p>
      <w:pPr>
        <w:pStyle w:val="Heading2"/>
      </w:pPr>
      <w:r>
        <w:t xml:space="preserve">4. Verificación (12 de octubre de 2026)</w:t>
      </w:r>
    </w:p>
    <w:p>
      <w:r>
        <w:t xml:space="preserve">Corrida final de `gen_v50.py`: exit=0, **FIN OK**.</w:t>
      </w:r>
    </w:p>
    <w:p>
      <w:r>
        <w:t xml:space="preserve">- paragraphs V50: **331** (esperado 331 = 331 − 7 + 11 − 6 + 2). - Claves **31/31 OK** (BAD=0):   - §4.8 v2 ×1 (título, «error de categoría», «no hay linking numbers», «cubrir y tallar», «nunca fue el objeto», «Primera./Segunda./Tercera.», «configAxioma2…»).   - Residuos del marco viejo = 0 (título 4.8 v1, «régimen modal de Σ», «no le hace falta», «El borromeo no se abandona…», «horn torus → esfera», «χ(X) = 1 (horn torus) se vuelve», «formen el enlace L6a4», «anudar sin garantía»).   - Cierre v2 ×1 (título con punto, «postula un nudo borromeo» ×2 cierre+abstract, «cobertura, no el enlace», «(iii) La transición topológica.»).   - Abstract: párrafo nuevo ×1, «Resumen» y «Palabras clave» intactos ×1.   - Secciones intactas: Adenda ×1, HCE ×1, 6.4/6.5 ×1 c/u, 4.7 ×1, Cap 6 ×2. - **Orden:** 4.7 &lt; 4.8v2 &lt; Cap 5 &lt; 6.1 &lt; BME &lt; 6.3 &lt; 6.4 &lt; 6.5 &lt; Cap 7 &lt; **adenda &lt; cierre &lt; biblioSec** = **True** (cierre reubicado correctamente al final del Cap 7). Resumen &lt; Índice &lt; Cap 1 = **True**. - XML válido: OK.</w:t>
      </w:r>
    </w:p>
    <w:p>
      <w:r>
        <w:t xml:space="preserve">---</w:t>
      </w:r>
    </w:p>
    <w:p>
      <w:pPr>
        <w:pStyle w:val="Heading2"/>
      </w:pPr>
      <w:r>
        <w:t xml:space="preserve">5. Ubicaciones (12/10/2026)</w:t>
      </w:r>
    </w:p>
    <w:p>
      <w:r>
        <w:t xml:space="preserve">| Qué | Archivo | |---|---| | **Tesis V50** | `…\Poincare varios\Claude outputs\tesis_rsi_poincare V50.docx` | | Extracto / diff | `…\Claude outputs\v50_extract.txt` (331 párrafos) / `v50_diff.txt` | | Generador | `…\Claude outputs\gen_v50.py` | | Espejos anteriores | `V49_escritos_completos.md` (con nota de supersede en §4), V48, V47… | | Trazabilidad | `…\Poincare varios\Horn Torus\trazabilidad_V28_a_V47.md` (sección V50) | | Espejo público | `docs\` del repo padre (GitHub) | | Espejo docx | `…\Horn Torus\V50_escritos_completos.docx` |</w:t>
      </w:r>
    </w:p>
    <w:p>
      <w:r>
        <w:t xml:space="preserve">Nota de ruta: la carpeta `poincare` fue renombrada por el autor a `Poincare varios` (Escritorio OneDrive); todas las referencias V47 o anteriores a `…\poincare\…` se leen hoy bajo `…\Poincare varios\…`.</w:t>
      </w:r>
    </w:p>
    <w:sectPr/>
  </w:body>
</w:document>
</file>

<file path=word/styles.xml><?xml version="1.0" encoding="utf-8"?>
<w:styles xmlns:w="http://schemas.openxmlformats.org/wordprocessingml/2006/main">
  <w:docDefaults>
    <w:rPrDefault>
      <w:rPr>
        <w:rFonts w:ascii="Calibri" w:hAnsi="Calibri"/>
        <w:sz w:val="22"/>
      </w:rPr>
    </w:rPrDefault>
  </w:docDefaults>
  <w:style w:type="paragraph" w:styleId="Normal" w:default="1">
    <w:name w:val="Normal"/>
  </w:style>
  <w:style w:type="paragraph" w:styleId="Heading1">
    <w:name w:val="heading 1"/>
    <w:basedOn w:val="Normal"/>
    <w:pPr>
      <w:outlineLvl w:val="0"/>
      <w:spacing w:before="280" w:after="120"/>
    </w:pPr>
    <w:rPr>
      <w:b/>
      <w:sz w:val="40"/>
    </w:rPr>
  </w:style>
  <w:style w:type="paragraph" w:styleId="Heading2">
    <w:name w:val="heading 2"/>
    <w:basedOn w:val="Normal"/>
    <w:pPr>
      <w:outlineLvl w:val="1"/>
      <w:spacing w:before="240" w:after="100"/>
    </w:pPr>
    <w:rPr>
      <w:b/>
      <w:sz w:val="30"/>
    </w:rPr>
  </w:style>
  <w:style w:type="paragraph" w:styleId="Heading3">
    <w:name w:val="heading 3"/>
    <w:basedOn w:val="Normal"/>
    <w:pPr>
      <w:outlineLvl w:val="2"/>
      <w:spacing w:before="200" w:after="80"/>
    </w:pPr>
    <w:rPr>
      <w:b/>
      <w:sz w:val="26"/>
    </w:rPr>
  </w:style>
  <w:style w:type="paragraph" w:styleId="Quote">
    <w:name w:val="Quote"/>
    <w:basedOn w:val="Normal"/>
    <w:pPr>
      <w:ind w:left="567"/>
      <w:spacing w:before="60" w:after="60"/>
    </w:pPr>
    <w:rPr>
      <w:i/>
      <w:color w:val="44444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