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Horn Torus ICC Model — Escritos completos del ciclo V51</w:t>
      </w:r>
    </w:p>
    <w:p>
      <w:r>
        <w:t xml:space="preserve">**Fecha:** 14 de octubre de 2026 · **Fuente:** `tesis_rsi_poincare V50.docx` → `tesis_rsi_poincare V51.docx` · **Generador:** `gen_v51.py` (patrón de `gen_v50.py`: zipfile rewrite, reemplazo por fracción exacta con `count==1`, inserción por párrafo exacto con `pPr` heredado, re-extracción y verificación con claves/residuos/orden/XML).</w:t>
      </w:r>
    </w:p>
    <w:p>
      <w:pPr>
        <w:pStyle w:val="Heading2"/>
      </w:pPr>
      <w:r>
        <w:t xml:space="preserve">0. Qué es la V51 y cómo se produjo</w:t>
      </w:r>
    </w:p>
    <w:p>
      <w:r>
        <w:t xml:space="preserve">V51 es la **pasada de coherencia** pedida tras el análisis del estado de los pendientes: las advertencias del Capítulo 4 y del Capítulo 5 conservaban marcas «PENDIENTE de rearticulación» referidas al Axioma 2, que **V47 ya rearticuló** (configuraciones (a)/(b) sobre X, con Σ contingente/exigida) y que **V50 cerró con el cambio de marco** (§4.8: el borromeo nunca fue el objeto). V51 hace dos cosas más, ambas derivadas del mismo análisis: redacta el **Axioma 5 de instrumentario de medición** (estatuto de la métrica y de la curvatura en p) y la **Proposición P.1 de la transición topológica** (el desarrollo del punto (iii) del Cierre metodológico, con la resolución del problema del χ = 1).</w:t>
      </w:r>
    </w:p>
    <w:p>
      <w:r>
        <w:t xml:space="preserve">**Estatuto de los dos bloques nuevos**: construcción del autor, así marcados en el propio texto; no citas, no resultados establecidos. La prueba de P.1 queda declarada pendiente (Adenda V51) con su esqueleto (i)–(iii).</w:t>
      </w:r>
    </w:p>
    <w:p>
      <w:pPr>
        <w:pStyle w:val="Heading2"/>
      </w:pPr>
      <w:r>
        <w:t xml:space="preserve">1. Tesis V51 — la pasada de coherencia (8 párrafos editados in situ)</w:t>
      </w:r>
    </w:p>
    <w:p>
      <w:r>
        <w:t xml:space="preserve">Reemplazos por fracción exacta, sin borrar contenido:</w:t>
      </w:r>
    </w:p>
    <w:p>
      <w:r>
        <w:t xml:space="preserve">1. **Notación unificada (L = S ∪ I ∪ Σ)** — «queda PENDIENTE de rearticulación (Axioma 1, Advertencia metodológica)» → «**quedó retirada** (Axioma 1, Advertencia metodológica; **Axioma 2 rearticulado V47**; §4.8 de V50: el borromeo nunca fue el objeto)». 2. **Advertencia — dos modelos** — «queda PENDIENTE; cada afirmación…» → «**quedó retirada con la rearticulación del Axioma 2 (V47), que la leyó sobre X** (soportes, trecho, modalidad de Σ), y con el §4.8 de V50; cada afirmación de este capítulo sigue indicando a qué modelo pertenece». 3. **Advertencia — Axiomas 2 y 3 en suspenso** — «No se los toca ni se los redefine en este axioma: quedan PENDIENTE de rearticulación…» → «**El Axioma 2 fue rearticulado en V47** (Axioma 2, Capítulo 5: configuraciones (a)/(b) sobre X) **y ya no está en suspenso**; la parte del Axioma 3 que depende de M_L — el objeto a como −i — **conserva su estatuto en suspenso**, por decisión explícita de no definir todavía el sinthome». Y «material en espera para cuando esa rearticulación se haga» → «material en espera **de esa precisión del Axioma 3**». 4. **Precisión sobre M_L** — «la identificación L = S∪I∪Σ sigue PENDIENTE.» → «**quedó descartada** (V47: la distinción se leyó sobre X; V50: el borromeo nunca fue el objeto)»; y «—el enlace directo S-I en (a), el borromeo genérico con Σ como abrazadera en (b), con las citas…» → «—**con las citas** del Seminario XXIII del material en espera—». 5. **Advertencia — M_L como modelo genérico** — «Esa identificación queda PENDIENTE de rearticulación (ver Axioma 1…)» → «**quedó descartada** (Axioma 2 rearticulado en V47 sobre X; §4.8 de V50: el borromeo nunca fue el objeto)». 6. **Axioma 1 — Σ y angustia en posiciones no intercambiables** — «queda —junto con el Axioma 2— PENDIENTE de rearticulación (Capítulo 6)» → «**fue resuelta por la rearticulación del Axioma 2 (V47): (a) con Σ contingente, (b) con Σ exigida (Capítulo 6)**». 7. **Resumen del Cap. 5 (retrovisor)** — «Los axiomas 1, 3 y 4 —con hueco declarado en el 2, retirado tras la V41…» → «Los axiomas **1, 2, 3 y 4** — el 2 **rearticulado en V47**…»; y «queda PENDIENTE de rearticulación junto con él» → «**quedó retirada** con la rearticulación del Axioma 2 (V47) y el §4.8 (V50)». 8. **Advertencia — sección en suspenso (diferencial clínica)** — «…queda PENDIENTE de rearticulación y no se afirma como establecida: se conserva como material en espera…» → «…**fue rearticulada en V47 — (a) superposición de soportes, Σ contingente; (b) trecho, Σ exigida (Axioma 2, Capítulo 5) — y la lectura del caso Joyce como paradigma de (b) quedó desarrollada en §6.3; lo que sigue de esta sección se conserva bajo el Axioma 2 rearticulado**».</w:t>
      </w:r>
    </w:p>
    <w:p>
      <w:r>
        <w:t xml:space="preserve">**Los PENDIENTEs genuinos se conservan intactos** — la V51 **no** disimula las deudas reales:</w:t>
      </w:r>
    </w:p>
    <w:p>
      <w:r>
        <w:t xml:space="preserve">- línea 243: «queda PENDIENTE de rearticulación (Axioma **3**…)» del Corolario II (por sección 6.4) — GENUINO; - línea 155: «el modelo sigue sin fijar la posición del núcleo del trauma (PENDIENTE mantenido)» — GENUINO (decisión del modelo); - línea 196: «PENDIENTE: decidir si esta punción es el mismo objeto a que el punto −i…» — GENUINO; - línea 307: Seminario IX — «Pendiente de cotejo directo» — GENUINO; - el sinthome: la **cita del Seminario XXIII** queda «como material secundario en espera», y el cotejo paginado sigue como tarea del Capítulo 7 (Cierre metodológico, punto (ii)).</w:t>
      </w:r>
    </w:p>
    <w:p>
      <w:pPr>
        <w:pStyle w:val="Heading2"/>
      </w:pPr>
      <w:r>
        <w:t xml:space="preserve">2. Tesis V51 — el Axioma 5 (instrumentario de medición) nuevo (texto íntegro)</w:t>
      </w:r>
    </w:p>
    <w:p>
      <w:r>
        <w:t xml:space="preserve">Insertado al final del Capítulo 5 — después del Resumen, antes del heading «Capítulo 6 — Alcance clínico».</w:t>
      </w:r>
    </w:p>
    <w:p>
      <w:pPr>
        <w:pStyle w:val="Quote"/>
      </w:pPr>
      <w:r>
        <w:rPr>
          <w:i/>
        </w:rPr>
        <w:t xml:space="preserve">**Axioma 5 — instrumentario de medición (estatuto de la métrica; construcción del autor).**  Los corolarios del Axioma 4 usan dos magnitudes — la anchura del cruce (Corolario I) y la curvatura en los puntos críticos (la angustia de aproximación) — cuyo valor depende de qué geometría se asigna a Ding y a sus bandas. Este axioma fija ese estatuto de una vez, para que las homologías no se lean sobre una métrica tácita.  (i) **La Wegbreite es longitud de arco en la métrica inducida.** Sobre la cara interna de Ding — para el borde r &lt; R, donde la métrica inducida por la inmersión en E³ es regular — la distancia que un cruce recorre al desviarse de una marca se mide como integral de la velocidad en esa métrica. El estatuto del término es freudiano, no riemanniano: la cantidad del Entwurf (1895) es la distancia efectiva de desvío — el rodeo que a la representación le cuesta alcanzar el hueco (UIW) —, un orden de magnitud, no una longitud recorrida. El umbral del prototipo (δ ≥ π/6, Corolario I) es una decisión de diseño sobre esa cantidad, marcada como axioma en la interfaz (§6.2), no un dato contrastado.  (ii) **La curvatura en p diverge y no se regulariza.** La curvatura gaussiana del horn torus vale K = cos θ / (r² (1 + cos θ)), con θ = 0 en el ecuador y θ = π en la cúspide p: K → −∞ al acercarse a la voz. La divergencia no es un artefacto numérico; es la forma geométrica de que la voz es un orificio de la métrica (§4.7). El modelo lo declara y no lo regulariza: a p no se le asigna curvatura finita, porque la voz no se promedia.  (iii) **El sustituto acotado del prototipo es provisorio y así se declara.** La implementación calcula, en el borde interno, una forma cerrada de curvatura acotada que conserva el signo hiperbólico y el orden de magnitud lejos de p. Ese valor no es un invariante — depende de la parametrización del sustituto —, no debe citarse como curvatura de la superficie en p, y se adopta solo para que la visualización tenga una magnitud finita donde la métrica real diverge (§6.2: asignación marcada como axioma). Con este estatuto quedan bien plantadas las homologías del Axioma 4: la distancia con que se mide la aproximación, la cantidad con que se mide el rodeo, y la singularidad que no se promedia. Ninguna de estas magnitudes mide estructura clínica: la validación empírica pertenece a los cuatro pasos de la BME, que este trabajo no satisface (§6.2).</w:t>
      </w:r>
    </w:p>
    <w:p>
      <w:pPr>
        <w:pStyle w:val="Heading2"/>
      </w:pPr>
      <w:r>
        <w:t xml:space="preserve">3. Tesis V51 — la Proposición P.1 (transición topológica) nueva (texto íntegro)</w:t>
      </w:r>
    </w:p>
    <w:p>
      <w:r>
        <w:t xml:space="preserve">Insertada al final del Capítulo 7 — después del Cierre metodológico, antes de la Bibliografía.</w:t>
      </w:r>
    </w:p>
    <w:p>
      <w:pPr>
        <w:pStyle w:val="Quote"/>
      </w:pPr>
      <w:r>
        <w:rPr>
          <w:i/>
        </w:rPr>
        <w:t xml:space="preserve">**Proposición P.1 — la transición topológica como cambio de categoría (desarrollo del Cierre metodológico, punto (iii)).**  El Cierre metodológico (iii) registra el resultado del prototipo — la ruptura, en el umbral δ ≥ π/6, hace caer χ de 0 a 1 — y lo deja como tarea de esta línea. La primera precisión es de objeto. Para una superficie cerrada, compacta y orientable vale χ = 2 − 2g: la característica de Euler es par en toda esa categoría (clasificación de superficies). El valor χ = 1 es imposible para una superficie cerrada orientable — es, en cambio, la característica de ℝP², que no es orientable. El resultado no puede leerse, entonces, como «la deformación cierra el agujero y produce otra superficie cerrada»: el objeto deformado **no es una superficie cerrada orientable**; **cambia de categoría topológica en el umbral**, no de forma dentro de la misma categoría.  La razón está en la cúspide. El horn torus de revolución es singular como superficie inmersa: en el punto de autotangencia p — la voz (Axioma 3, Extensión) — la superficie se toca a sí misma y la métrica inducida de E³ no da allí estructura lisa. La familia de deformación del prototipo, {X_δ} con δ ∈ [0, π/6], hereda esa singularidad para todo δ: el umbral no la produce. Lo que el umbral aporta es el colapso: en δ = π/6 el desplazamiento axial hace que el generador del lazo longitudinal — el círculo cuya clase genera H₁(X_0) = ℤ — se contraiga a un punto, con el paso continuo que se abre entre el interior U y el exterior E a través de la singularidad.  El enunciado exacto: (a) para δ &lt; π/6, X_δ es homeomorfa a X_0 — la deformación es isotópica fuera de la vecindad del umbral —, de modo que χ(X_δ) = 0 y H₁(X_δ) = ℤ; (b) exactamente en δ = π/6 el lazo longitudinal se contrae y el par de invariantes pasa a χ = 1, H₁ = 0, calculados sobre X_δ como **espacio topológico (poliedro de la deformación), no como variedad lisa** — la fórmula χ = 2 − 2g deja de aplicarse porque **falla su hipótesis, no su aritmética** —; y (c) el resultado que la tesis registra es el paso de (a) a (b) en ese umbral, no una transición de enlaces. El par (χ, H₁) cambia exactamente cuando el objeto deja de ser superficie cerrada: la transición topológica es un hecho de categoría, no una deformación métrica.  **Estatuto**: esta proposición es una construcción del autor, no un teorema citado, y su prueba completa exige: (1) la parametrización explícita de X_δ tal como la implementación la deforma (no solo la leyenda visual); (2) el cálculo de H₁ del complemento S³∖X_δ por dualidad de Alexander, con verificación de las condiciones de regularidad (tameness) para cada δ — la esfera cornuda de Alexander (1924) marca lo que falla sin ellas (§4.7, advertencia) —; y (3) la verificación numérica de χ sobre la triangulación del prototipo antes y después del umbral (Adenda V51). P.1 fija el enunciado que esa tarea debe probar — sin el error de categoría que habría leído χ = 1 como propiedad de una superficie cerrada orientable — y deja todo el desarrollo pendiente declarado como tal.</w:t>
      </w:r>
    </w:p>
    <w:p>
      <w:pPr>
        <w:pStyle w:val="Heading2"/>
      </w:pPr>
      <w:r>
        <w:t xml:space="preserve">4. Nada del abstract cambia</w:t>
      </w:r>
    </w:p>
    <w:p>
      <w:r>
        <w:t xml:space="preserve">El abstract V50 ya declara los **tres límites — el anudamiento como cobertura, la definición del sinthome, la transición topológica (χ = 0 → χ = 1) —** como «contorno del programa y no como deuda», y V51 respeta ese estatuto: P.1 **no disuelve el límite** — lo **declara de forma precisa** con su enunciado exacto y con su prueba pendiente. El aviso de estatuto de la app tampoco cambia (no menciona ninguna de las piezas editadas): `EstatutoNotice.tsx` permanece en `fusion-prcc` y no se altera.</w:t>
      </w:r>
    </w:p>
    <w:p>
      <w:pPr>
        <w:pStyle w:val="Heading2"/>
      </w:pPr>
      <w:r>
        <w:t xml:space="preserve">5. Verificación (14 de octubre de 2026)</w:t>
      </w:r>
    </w:p>
    <w:p>
      <w:r>
        <w:t xml:space="preserve">Corrida de `gen_v51.py`: **FIN OK, exit=0**. Check completo:</w:t>
      </w:r>
    </w:p>
    <w:p>
      <w:r>
        <w:t xml:space="preserve">- **Estructura de párrafos**: 341 = 331 + 10 nuevos (5 del Axioma 5 + 5 de P.1) con 8 párrafos editados in situ y 323 intactos, huella todo aplicada. - **Claves**: 36/36 OK. Residuos vetados (las 8 marcas «PENDIENTE de rearticulación» que debían desaparecer) **= 0**. Los 4 PENDIENTEs genuinos conservados a sus valores esperados (`genuino_corolarioII`, `genuino_nucleo_trauma`, `genuino_puncion_minus_i`, `genuino_sem_ix` → todos 1). - **Orden**: resumenCap5 &lt; Axioma5 &lt; 6.1: **True**; adenda &lt; Cierre &lt; P.1 &lt; biblioSec: **True**; orden general V51 (4.7 &lt; 4.8 &lt; Cap5 &lt; Axioma5 &lt; 6.1 &lt; BME &lt; 6.3 &lt; 6.4 &lt; 6.5 &lt; adenda &lt; Cierre &lt; P.1 &lt; biblioSec): **True**. - **Página de frente**: orden Resumen &lt; Índice &lt; Cap1: **True** (intacto de V49/V50). - **XML válido**: OK. Checksum y diff: `v51_extract.txt` (341 párrafos), `v51_diff.txt`. - **Fuente intacta**: `tesis_rsi_poincare V50.docx` sin cambiar (solo lecturas; nunca reescrito).</w:t>
      </w:r>
    </w:p>
    <w:p>
      <w:pPr>
        <w:pStyle w:val="Heading2"/>
      </w:pPr>
      <w:r>
        <w:t xml:space="preserve">6. Ubicaciones (14/10/2026)</w:t>
      </w:r>
    </w:p>
    <w:p>
      <w:r>
        <w:t xml:space="preserve">- Tesis: `Claude outputs\tesis_rsi_poincare V51.docx` (3.626.853 bytes, 341 párrafos). - Extracto/diff: `Claude outputs\v51_extract.txt`, `v51_diff.txt`. Generador: `gen_v51.py` (reemplazo por fracción exacta con `count==1`; inserción por párrafo exacto con `pPr` heredado — mismo patrón de `gen_v50.py`). - Espejo: `Horn Torus\V51_escritos_completos.md` + `V51_escritos_completos.docx` (docx generado con `md_to_docx.py`, mismo generador de los espejos V47–V50). - Trazabilidad: `trazabilidad_V28_a_V47.md` (sección «Tesis V51», antes de Convenciones). - Repo padre: `docs/tesis_rsi_poincare V51.docx`, `docs/V51_escritos_completos.md`, `docs/V51_escritos_completos.docx`, `docs/trazabilidad_V28_a_V47.md` + README con la entrada V51 (transparencia de la línea de tiempo).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80" w:after="120"/>
    </w:pPr>
    <w:rPr>
      <w:b/>
      <w:sz w:val="40"/>
    </w:rPr>
  </w:style>
  <w:style w:type="paragraph" w:styleId="Heading2">
    <w:name w:val="heading 2"/>
    <w:basedOn w:val="Normal"/>
    <w:pPr>
      <w:outlineLvl w:val="1"/>
      <w:spacing w:before="240" w:after="100"/>
    </w:pPr>
    <w:rPr>
      <w:b/>
      <w:sz w:val="30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sz w:val="26"/>
    </w:rPr>
  </w:style>
  <w:style w:type="paragraph" w:styleId="Quote">
    <w:name w:val="Quote"/>
    <w:basedOn w:val="Normal"/>
    <w:pPr>
      <w:ind w:left="567"/>
      <w:spacing w:before="60" w:after="60"/>
    </w:pPr>
    <w:rPr>
      <w:i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