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Horn Torus ICC Model — Escritos completos del ciclo V48</w:t>
      </w:r>
    </w:p>
    <w:p>
      <w:r>
        <w:t xml:space="preserve">**Documento único** con todo el texto escrito por el agente (Buffy / Codebuff) a pedido del Lic. Carlos Vonsik durante el ciclo V48, 7 de octubre de 2026. El ciclo V48 desarrolla en la tesis RSI–Poincaré la nueva §6.3 «Joyce como paradigma de la LECTURA» (respuesta al eje (a) del §6.1 y al anuncio «Joyce paradigma» de la Adenda V47 2), con renumeración de las secciones siguientes. Todo está extraído textualmente de los archivos que se indican en cada sección.</w:t>
      </w:r>
    </w:p>
    <w:p>
      <w:r>
        <w:t xml:space="preserve">---</w:t>
      </w:r>
    </w:p>
    <w:p>
      <w:pPr>
        <w:pStyle w:val="Heading2"/>
      </w:pPr>
      <w:r>
        <w:t xml:space="preserve">0. Qué es la V48 y cómo se produjo</w:t>
      </w:r>
    </w:p>
    <w:p>
      <w:r>
        <w:t xml:space="preserve">- **Fuente:** `tesis_rsi_poincare V47 2.docx` (3.619.276 bytes, 307 párrafos) — intacta, nunca pisada. - **Generador:** `Claude outputs/gen_v48.py` (zipfile rewrite, patrón `gen_v47_2.py`; `replace_once` multi-run preservando rPr). - **Resultado:** `tesis_rsi_poincare V48.docx` (3.621.575 bytes, 313 párrafos = 307 + 6; XML válido). - **Cambios:** inserción pura de 6 párrafos (título + 5) tras el párrafo «Se conserva el instrumento en este capítulo…» (cierre de la BME, §6.2), más 5 renumeraciones (§2). Nada más cambia. - **Decisión del autor (7/10/2026):** «Nueva §6.3 + renumerar» — la sección nueva entra como §6.3 después de la BME; Diagnóstico diferencial pasa a §6.4; Relectura clínica del caso Joyce pasa a §6.5; referencias cruzadas actualizadas.</w:t>
      </w:r>
    </w:p>
    <w:p>
      <w:r>
        <w:t xml:space="preserve">---</w:t>
      </w:r>
    </w:p>
    <w:p>
      <w:pPr>
        <w:pStyle w:val="Heading2"/>
      </w:pPr>
      <w:r>
        <w:t xml:space="preserve">1. Tesis V48 — la §6.3 nueva (texto íntegro)</w:t>
      </w:r>
    </w:p>
    <w:p>
      <w:r>
        <w:t xml:space="preserve">Inserción pura: +6 párrafos, −0. Verbatim de `v48_diff.txt` / `v48_extract.txt` (líneas 247–252).</w:t>
      </w:r>
    </w:p>
    <w:p>
      <w:r>
        <w:t xml:space="preserve">**6.3 Joyce como paradigma de la LECTURA: la epifanía como homología y el sinthome como axioma**</w:t>
      </w:r>
    </w:p>
    <w:p>
      <w:r>
        <w:t xml:space="preserve">La Adenda V47 2 (Capítulo 7) fijó el estatuto epistémico de la LECTURA del análisis espectral: homología del modelo, no inferencia de estructura; calcula, no mide. Esta sección desarrolla lo que allí quedó anunciado como «Joyce paradigma», y responde el eje (a) del §6.1 en su registro epistemológico. Joyce ocupa en esta tesis dos registros complementarios: la §6.5 lo lee como paradigma clínico de la configuración (b) del Axioma 2 —el cuerpo como pelure, la Wegbreite de la escritura—; esta §6.3 lo lee como paradigma epistemológico de la operación que la tesis llama LECTURA. Joyce no representa el inconsciente: lo lee. La epifanía — «a sudden spiritual manifestation, whether in the vulgarity of speech or of gesture or in a memorable phase of the mind itself» (Joyce, Stephen Hero) — es exactamente la transición que el modelo calcula: una proximidad sobre la superficie —el paso de la cinta S dentro de la vecindad A_cr de una marca de fantasía (Axioma 4)— que reorganiza el sentido de toda la superficie sin producir punto de vista exterior desde el cual medir lo ocurrido. La epifanía es homología, no representación: el Bloom de un día no mide a Odiseo; la correspondencia se lee, y ese leer produce el saber del libro. Los títulos capitulares de Ulysses —fijados por los esquemas de Gilbert y de Linati— operan como operan las asignaciones del prototipo marcadas como axioma en la interfaz (§6.2): correspondencias de origen explícitas, declaradas, no resultados. Transpuesto al prototipo: el panel «Espectral K» lee Dublín como Joyce — desde la superficie, sin afuera.</w:t>
      </w:r>
    </w:p>
    <w:p>
      <w:r>
        <w:t xml:space="preserve">El estatuto de oído de la LECTURA está formulado por Joyce con más precisión que por ninguna metodología: «What can't be coded can be decorded if an ear aye seize what no eye ere grieved for» (Finnegans Wake). Lo que no puede medirse puede decodificarse, si una oreja capta lo que ningún ojo midió. La entrada del modelo es, por axioma (§6.2), una letra ya escrita —los puntajes SCL-90-R y el baremo de Casullo – Pérez: publicado, verificable, no inferido— y la salida no mide estructura alguna: descodifica. En Finnegans Wake la carta no está oculta: «the letter! the litter!» — es hallada en un basurero y leída ante todos (I.5), exactamente la posición de la letra psicométrica respecto del modelo: no hay que descubrir lo oculto; hay que leer lo publicado. Esa es la garantía de no-circularidad que la BME exige (§6.2): lo leído como entrada es axiomático y público; lo producido como lectura no retroalimenta la entrada.</w:t>
      </w:r>
    </w:p>
    <w:p>
      <w:r>
        <w:t xml:space="preserve">El segundo aporte de Joyce es el sinthome. En R.S.I. (Seminario XXII) Lacan señala que Joyce suple la falla del Nombre-del-Padre haciendo de su nombre propio su ego; en El sinthome (Seminario XXIII) ese gesto es el cuarto anillo que completa un nudo que de otro modo se deshace (lectura secundaria; cotejo paginado sobre las copias del autor, pendiente, Capítulo 7). El punto epistemológico: el sinthome no se valida — funciona; se anuda, y la escritura se sostiene. La LECTURA del modelo tiene ese mismo estatuto: las asignaciones del prototipo están marcadas como axioma en la interfaz (§6.2), y la tesis no las defiende como resultados sino como condiciones de un cálculo que produce una superficie legible. Joyce es el paradigma del «funciona sin garantía»: Finnegans Wake no deduce su valor de una métrica externa; se sostiene por su propio anudamiento — work in progress, como el prototipo es propuesta de arquitectura y no instrumento validado (§6.2).</w:t>
      </w:r>
    </w:p>
    <w:p>
      <w:r>
        <w:t xml:space="preserve">La relectura epistemológica cruza además con la diferencial del Axioma 2 (§6.4). La epifanía es el paradigma de la reactivación en configuración (a): el objeto banal —el reloj del Ballast Office, una frase oída— reordena la escena sin dispersarla ni eyectarla; la reactivación no dispersa ni eyecta en (a), y el pasaje que dispersa y eyecta —la salida de la cinta por la voz— es el registro de la ruptura que la §6.5 lee en el cuerpo como pelure (Corolario II, condicional a (b)). Y la letra circular del Wake —«riverrun, past Eve and Adam's» al inicio; «a way a lone a last a loved a long the» al final, empalmando con aquella— es la figura exacta de la circularidad que esta tesis atribuye al horn torus: no hay punto de la superficie desde el cual leer sin estar leída; toda curva de lectura es cerrada. Esa circularidad topológica no es la circularidad epistémica que la BME veta (§6.2): el Wake no valida Dublín; lo re-escribe. El modelo no valida la estructura; la lee. La distinción es la misma: la curva es cerrada; el argumento, no.</w:t>
      </w:r>
    </w:p>
    <w:p>
      <w:r>
        <w:t xml:space="preserve">Advertencia metodológica: esta sección no agrega una medición; agrega un paradigma, y su alcance es estrictamente epistemológico. (i) La homología LECTURA tiene un paradigma literario interno, no un precedente de validación: Joyce autoriza el gesto de leer —calcula, no mide—, no la corrección de lo leído. (ii) El sinthome autoriza axiomas que funcionan sin validación, pero no sustituye la BME: cualquier uso empírico del instrumento sigue requiriendo los cuatro pasos del §6.2. (iii) Joyce no diagnostica: ni HCE ni ALP son casos, y el Wake no es un protocolo; la LECTURA es homología de superficie, no medición de un caso — «Here Comes Everybody»: nadie está afuera de la superficie, y por eso ninguna lectura mide a alguien. (iv) Quedan abiertas las tareas del Capítulo 7 que esta sección hace más urgentes: el cotejo paginado de las citas de Joyce (Stephen Hero y Finnegans Wake) y de R.S.I. sobre las copias primarias del autor, y la decisión sobre la función de Σ como pantalla o mero anudamiento (tarea (11)) — que Joyce exhibe («the letter! the litter!»: la letra que anuda y la letra que embrolla son la misma letra) sin resolverla.</w:t>
      </w:r>
    </w:p>
    <w:p>
      <w:r>
        <w:t xml:space="preserve">---</w:t>
      </w:r>
    </w:p>
    <w:p>
      <w:pPr>
        <w:pStyle w:val="Heading2"/>
      </w:pPr>
      <w:r>
        <w:t xml:space="preserve">2. Renumeraciones aplicadas (5)</w:t>
      </w:r>
    </w:p>
    <w:p>
      <w:r>
        <w:t xml:space="preserve">| Antes (V47 2) | Después (V48) | Dónde | |---|---|---| | §6.3 Diagnóstico diferencial estructural: neurosis y Border frente a Ding | **§6.4** | título de sección | | §6.4 Relectura clínica del caso Joyce: el cuerpo como pelure y la Wegbreite de la escritura | **§6.5** | título de sección | | «mero anudamiento (§6.3)» | «mero anudamiento **(§6.4)**» | Capítulo 7, tarea (11) | | «(caso Joyce, §6.4)» | «(caso Joyce, **§6.5**)» | Bibliografía, entrada SXIII | | «§6.2, Joyce paradigma» | «**§6.3**, Joyce paradigma» | Adenda V47 2, párrafo 2 |</w:t>
      </w:r>
    </w:p>
    <w:p>
      <w:r>
        <w:t xml:space="preserve">---</w:t>
      </w:r>
    </w:p>
    <w:p>
      <w:pPr>
        <w:pStyle w:val="Heading2"/>
      </w:pPr>
      <w:r>
        <w:t xml:space="preserve">3. Verificación (7 de octubre de 2026)</w:t>
      </w:r>
    </w:p>
    <w:p>
      <w:r>
        <w:t xml:space="preserve">Corrida final de `gen_v48.py`: exit=0, **FIN OK**.</w:t>
      </w:r>
    </w:p>
    <w:p>
      <w:r>
        <w:t xml:space="preserve">- paragraphs V48: **313** (esperado 313 = 307 + 6). - Claves **21/21 OK** (BAD=0): título §6.3 ×1; citas Stephen Hero ×1, FW «What can't be coded can be decorded» ×1, FW letter ×2, FW riverrun ×1, FW final ×1, FW HCE ×1, Ballast Office ×1; RSI nombre-propio/ego ×1; renumeraciones (6.4, 6.5, tarea (11), biblio SXIII, adenda) ×1 cada una. - Residuos = 0: títulos viejos 6.3/6.4, refs viejas (§6.3 tarea (11), §6.4 biblio, §6.2 adenda), tesis V22, «NO publicado». - **Orden** 6.2 &lt; 6.3 &lt; 6.4 &lt; 6.5 &lt; Cap 7 (pendiente) &lt; Adenda &lt; Bibliografía: **True**. (Marcadores inequívocos: `Adenda V47 2 — LECTURA` ×3 y `Bibliografía secundaria` ×1; la versión anterior del check daba False porque el índice y la nota del proceso mencionan «Bibliografía» y el texto nuevo de §6.3 menciona «La Adenda V47 2 (Capítulo 7)» — falso alarma ya presente en V47 2 como `orden adenda&lt;biblio: False`.) - XML válido: OK. Diff: inserción pura de 6 párrafos; renumeraciones correctas en títulos y referencias.</w:t>
      </w:r>
    </w:p>
    <w:p>
      <w:r>
        <w:t xml:space="preserve">---</w:t>
      </w:r>
    </w:p>
    <w:p>
      <w:pPr>
        <w:pStyle w:val="Heading2"/>
      </w:pPr>
      <w:r>
        <w:t xml:space="preserve">4. Ubicaciones (7/10/2026)</w:t>
      </w:r>
    </w:p>
    <w:p>
      <w:r>
        <w:t xml:space="preserve">| Qué | Archivo | |---|---| | **Tesis V48** | `…\Poincare varios\Claude outputs\tesis_rsi_poincare V48.docx` | | Extracto / diff | `…\Claude outputs\v48_extract.txt` (313 párrafos) / `v48_diff.txt` | | Generador | `…\Claude outputs\gen_v48.py` (log: `_gen_v48_out.txt`) | | Trazabilidad | `…\Poincare varios\Horn Torus\trazabilidad_V28_a_V47.md` (sección V48, 7/10/2026) | | Espejo público | `docs\` del repo padre `horn-torus-icc-model-experimental` (GitHub, commit del 7/10/2026) | | Espejo docx | `…\Horn Torus\V48_escritos_completos.docx` (este .md convertido con `md_to_docx.py`) |</w:t>
      </w:r>
    </w:p>
    <w:p>
      <w:r>
        <w:t xml:space="preserve">Nota de ruta: la carpeta `poincare` fue renombrada por el autor a `Poincare varios` (Escritorio OneDrive); todas las referencias V47 o anteriores a `…\poincare\…` se leen hoy bajo `…\Poincare varios\…`.</w:t>
      </w:r>
    </w:p>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ormal" w:default="1">
    <w:name w:val="Normal"/>
  </w:style>
  <w:style w:type="paragraph" w:styleId="Heading1">
    <w:name w:val="heading 1"/>
    <w:basedOn w:val="Normal"/>
    <w:pPr>
      <w:outlineLvl w:val="0"/>
      <w:spacing w:before="280" w:after="120"/>
    </w:pPr>
    <w:rPr>
      <w:b/>
      <w:sz w:val="40"/>
    </w:rPr>
  </w:style>
  <w:style w:type="paragraph" w:styleId="Heading2">
    <w:name w:val="heading 2"/>
    <w:basedOn w:val="Normal"/>
    <w:pPr>
      <w:outlineLvl w:val="1"/>
      <w:spacing w:before="240" w:after="100"/>
    </w:pPr>
    <w:rPr>
      <w:b/>
      <w:sz w:val="30"/>
    </w:rPr>
  </w:style>
  <w:style w:type="paragraph" w:styleId="Heading3">
    <w:name w:val="heading 3"/>
    <w:basedOn w:val="Normal"/>
    <w:pPr>
      <w:outlineLvl w:val="2"/>
      <w:spacing w:before="200" w:after="80"/>
    </w:pPr>
    <w:rPr>
      <w:b/>
      <w:sz w:val="26"/>
    </w:rPr>
  </w:style>
  <w:style w:type="paragraph" w:styleId="Quote">
    <w:name w:val="Quote"/>
    <w:basedOn w:val="Normal"/>
    <w:pPr>
      <w:ind w:left="567"/>
      <w:spacing w:before="60" w:after="60"/>
    </w:pPr>
    <w:rPr>
      <w:i/>
      <w:color w:val="44444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