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D781" w14:textId="0D6002D4" w:rsidR="005D056E" w:rsidRPr="00BA35E3" w:rsidRDefault="005D056E" w:rsidP="005D056E">
      <w:pPr>
        <w:rPr>
          <w:rFonts w:ascii="Times New Roman" w:hAnsi="Times New Roman" w:cs="Times New Roman"/>
          <w:lang w:val="en-US"/>
        </w:rPr>
      </w:pPr>
      <w:r w:rsidRPr="00BA35E3">
        <w:rPr>
          <w:rFonts w:ascii="Times New Roman" w:hAnsi="Times New Roman" w:cs="Times New Roman"/>
          <w:lang w:val="en-US"/>
        </w:rPr>
        <w:t xml:space="preserve">LLM (GPT) 1 </w:t>
      </w:r>
    </w:p>
    <w:p w14:paraId="3B02EBE4" w14:textId="77777777" w:rsidR="00DA3D22" w:rsidRDefault="00DA3D22" w:rsidP="00DA3D22">
      <w:pPr>
        <w:pStyle w:val="NormalWeb"/>
      </w:pPr>
      <w:r>
        <w:t>On Articles 3(m), 10(1) and 10(2), the Court held that a credit agreement need not be contained in a single document. Directive 2008/48 requires that all information listed in Article 10(2) be set out “on paper or on another durable medium”, but it does not require that everything be consolidated in one physical instrument. What matters is that the consumer actually receives all mandatory information in a clear and concise manner, and that any cross-reference to other documents be sufficiently clear and precise to enable the consumer genuinely to know his or her rights and obligations. A “durable medium” is any medium that allows personally addressed information to be stored, accessed for an adequate period, and reproduced unchanged.</w:t>
      </w:r>
    </w:p>
    <w:p w14:paraId="7A204FBC" w14:textId="77777777" w:rsidR="00DA3D22" w:rsidRDefault="00DA3D22" w:rsidP="00DA3D22">
      <w:pPr>
        <w:pStyle w:val="NormalWeb"/>
      </w:pPr>
      <w:r>
        <w:t>The Court further held that Directive 2008/48 does not itself require a paper credit agreement to be signed. However, Article 10(1) expressly leaves untouched national rules on the validity of the conclusion of credit agreements, provided those rules comply with EU law. Accordingly, a Member State may require a consumer credit agreement drawn up on paper to be signed by the parties, and may also provide that this signature requirement applies to all of the contractual particulars referred to in Article 10(2). Such requirements belong to national contract-validity rules and are not, in themselves, precluded by the Directive.</w:t>
      </w:r>
    </w:p>
    <w:p w14:paraId="449FCB32" w14:textId="77777777" w:rsidR="00DA3D22" w:rsidRDefault="00DA3D22" w:rsidP="00DA3D22">
      <w:pPr>
        <w:pStyle w:val="NormalWeb"/>
      </w:pPr>
      <w:r>
        <w:t>As to Article 10(2)(h), the Court rejected the view that every repayment date must be individually specified by exact calendar date. It is sufficient that the terms of the agreement enable the consumer to ascertain the dates of payments without difficulty and with certainty by reference to objective criteria. The Directive therefore permits wording from which the payment dates can readily be determined, so long as the consumer can identify them reliably.</w:t>
      </w:r>
    </w:p>
    <w:p w14:paraId="41430638" w14:textId="77777777" w:rsidR="00DA3D22" w:rsidRDefault="00DA3D22" w:rsidP="00DA3D22">
      <w:pPr>
        <w:pStyle w:val="NormalWeb"/>
      </w:pPr>
      <w:r>
        <w:t>On Articles 10(2)(h) and 10(2)(i), read with Article 22(1), the Court ruled that a fixed-term credit agreement involving repayment of capital in successive instalments does not have to include, at the time of conclusion, an amortisation table showing the allocation of each instalment between principal, interest, and other charges. Article 10(2)(i) instead gives the consumer a right to receive such a table on request, free of charge, during the life of the agreement. Because Article 10(2) harmonises the information that must appear in the contract, Member States may not impose an additional obligation requiring inclusion of such an amortisation schedule in the agreement itself.</w:t>
      </w:r>
    </w:p>
    <w:p w14:paraId="57DC4030" w14:textId="61B50156" w:rsidR="005D056E" w:rsidRPr="00321595" w:rsidRDefault="00DA3D22" w:rsidP="00DA3D22">
      <w:pPr>
        <w:pStyle w:val="NormalWeb"/>
      </w:pPr>
      <w:r>
        <w:t>Finally, on Articles 22(1) and 23, the Court held that national legislation may provide that a credit agreement lacking mandatory information is deemed interest-free and free of charges, but only where the omitted information is of such importance that its absence may compromise the consumer’s ability to assess the extent of his or her liability. Such a sanction may be effective, proportionate and dissuasive in relation to serious omissions, such as the annual percentage rate of charge or repayment information. By contrast, the same sanction would be disproportionate if triggered by omission of information that, by its nature, cannot affect the consumer’s understanding of liability.</w:t>
      </w:r>
    </w:p>
    <w:p w14:paraId="37974BF4" w14:textId="775F95FF" w:rsidR="005D056E" w:rsidRDefault="005D056E" w:rsidP="005D056E">
      <w:pPr>
        <w:rPr>
          <w:rFonts w:ascii="Times New Roman" w:hAnsi="Times New Roman" w:cs="Times New Roman"/>
        </w:rPr>
      </w:pPr>
      <w:r>
        <w:rPr>
          <w:rFonts w:ascii="Times New Roman" w:hAnsi="Times New Roman" w:cs="Times New Roman"/>
        </w:rPr>
        <w:t>LLM (GPT) 2</w:t>
      </w:r>
      <w:r>
        <w:rPr>
          <w:rFonts w:ascii="Times New Roman" w:hAnsi="Times New Roman" w:cs="Times New Roman"/>
        </w:rPr>
        <w:br/>
      </w:r>
    </w:p>
    <w:p w14:paraId="61DF6029" w14:textId="77777777" w:rsidR="00DA3D22" w:rsidRDefault="00DA3D22" w:rsidP="00DA3D22">
      <w:pPr>
        <w:pStyle w:val="NormalWeb"/>
      </w:pPr>
      <w:r>
        <w:t xml:space="preserve">The Court held first that Article 10(1) and (2), read with Article 3(m), does not require all mandatory contractual information to be contained in a single document. A credit agreement </w:t>
      </w:r>
      <w:r>
        <w:lastRenderedPageBreak/>
        <w:t xml:space="preserve">may therefore consist of more than one document, provided that all information required by Article 10(2) is set out on paper or another durable medium and is incorporated into the agreement in a clear and comprehensible way. Where the agreement refers to other documents, there must be a clear and precise cross-reference enabling the consumer genuinely to know his or her rights and obligations. The notion of “durable medium” is autonomous under EU law and covers any medium that allows the consumer to store information personally addressed to him or her, access it for an adequate period, and reproduce it unchanged. </w:t>
      </w:r>
    </w:p>
    <w:p w14:paraId="5178EDDE" w14:textId="77777777" w:rsidR="00DA3D22" w:rsidRDefault="00DA3D22" w:rsidP="00DA3D22">
      <w:pPr>
        <w:pStyle w:val="NormalWeb"/>
      </w:pPr>
      <w:r>
        <w:t xml:space="preserve">Secondly, the Directive does not harmonise national rules governing the formal validity of the conclusion of credit agreements. Accordingly, it does not preclude a Member State from requiring that a consumer credit agreement drawn up on paper be signed by the parties, nor from extending that signature requirement to all contractual particulars which the agreement must contain under Article 10(2). Such a national rule falls within the reservation in Article 10(1) preserving national rules on the validity of contract formation, so long as those rules comply with EU law. </w:t>
      </w:r>
    </w:p>
    <w:p w14:paraId="274A49D9" w14:textId="77777777" w:rsidR="00DA3D22" w:rsidRDefault="00DA3D22" w:rsidP="00DA3D22">
      <w:pPr>
        <w:pStyle w:val="NormalWeb"/>
      </w:pPr>
      <w:r>
        <w:t xml:space="preserve">Thirdly, as regards Article 10(2)(h), the Court ruled that a credit agreement need not specify the exact calendar date of every instalment. It is sufficient that the terms of the agreement enable the consumer to ascertain the dates of payment without difficulty and with certainty. The essential aim is that the consumer be able to know when payments fall due; that aim is met where the agreement uses objective and easily applicable criteria rather than listing each date individually. </w:t>
      </w:r>
    </w:p>
    <w:p w14:paraId="67FFC865" w14:textId="77777777" w:rsidR="00DA3D22" w:rsidRDefault="00DA3D22" w:rsidP="00DA3D22">
      <w:pPr>
        <w:pStyle w:val="NormalWeb"/>
      </w:pPr>
      <w:r>
        <w:t xml:space="preserve">Fourthly, concerning Articles 10(2)(h) and (i), the Court held that a fixed-term credit agreement with capital repaid in successive instalments does not have to contain an amortisation table showing the allocation of each instalment between capital, interest and charges. The Directive requires only that the agreement state the amount, number and frequency of payments, while the amortisation table must be supplied only on request and free of charge during the life of the agreement. Because this field is fully harmonised, Article 22(1) precludes Member States from imposing a stricter rule requiring such a table to be included in the agreement itself. </w:t>
      </w:r>
    </w:p>
    <w:p w14:paraId="2DD8FB36" w14:textId="14C75531" w:rsidR="00DA3D22" w:rsidRDefault="00DA3D22" w:rsidP="00DA3D22">
      <w:pPr>
        <w:pStyle w:val="NormalWeb"/>
      </w:pPr>
      <w:r>
        <w:t>Finally, on sanctions, the Court held that Article 23 does not prevent national legislation from providing that a credit agreement lacking mandatory information is to be treated as interest-free and free of charges, but only insofar as the omitted information is of such importance that its absence may impair the consumer’s ability to assess the extent of his or her liability. A sanction of total loss of interest and charges may therefore be proportionate where vital information, such as the annual percentage rate of charge or repayment information, is missing; it would, however, be disproportionate if triggered by omission of information that by its nature cannot affect that assessment.</w:t>
      </w:r>
    </w:p>
    <w:p w14:paraId="4249934D" w14:textId="0E2335E8" w:rsidR="005D056E" w:rsidRDefault="005D056E" w:rsidP="005D056E">
      <w:pPr>
        <w:rPr>
          <w:rFonts w:ascii="Times New Roman" w:hAnsi="Times New Roman" w:cs="Times New Roman"/>
        </w:rPr>
      </w:pPr>
      <w:r>
        <w:rPr>
          <w:rFonts w:ascii="Times New Roman" w:hAnsi="Times New Roman" w:cs="Times New Roman"/>
        </w:rPr>
        <w:br/>
        <w:t>LLM (GPT) 3</w:t>
      </w:r>
      <w:r>
        <w:rPr>
          <w:rFonts w:ascii="Times New Roman" w:hAnsi="Times New Roman" w:cs="Times New Roman"/>
        </w:rPr>
        <w:br/>
      </w:r>
    </w:p>
    <w:p w14:paraId="6BE6DACB"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 xml:space="preserve">First, as regards Articles 3(m) and 10(1)–(2), the Court held that the Directive does not require every item of mandatory information to appear in a single physical document. A credit agreement may consist of more than one document, provided that all information </w:t>
      </w:r>
      <w:r w:rsidRPr="00DA3D22">
        <w:rPr>
          <w:rFonts w:ascii="Times New Roman" w:hAnsi="Times New Roman" w:cs="Times New Roman"/>
        </w:rPr>
        <w:lastRenderedPageBreak/>
        <w:t>required by Article 10(2) is set out on paper or on another durable medium and forms part of the agreement. Where information is contained in separate documents, the agreement must contain a clear and precise cross-reference enabling the consumer genuinely to identify and retain all information relating to his rights and obligations. The concept of “durable medium” is autonomous under EU law and covers any instrument enabling the consumer to store personally addressed information, access it for an adequate period, and reproduce it unchanged.</w:t>
      </w:r>
    </w:p>
    <w:p w14:paraId="1264806E" w14:textId="77777777" w:rsidR="00DA3D22" w:rsidRPr="00DA3D22" w:rsidRDefault="00DA3D22" w:rsidP="00DA3D22">
      <w:pPr>
        <w:rPr>
          <w:rFonts w:ascii="Times New Roman" w:hAnsi="Times New Roman" w:cs="Times New Roman"/>
        </w:rPr>
      </w:pPr>
    </w:p>
    <w:p w14:paraId="349FB7FB"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Secondly, the Court distinguished between harmonised information duties and national rules on contractual validity. Article 10(1) does not itself require a paper agreement to be signed. However, the Directive does not preclude a Member State from imposing, under its national law, a signature requirement as a condition for the validity of a paper credit agreement, nor from requiring that signature to extend to all the particulars which Article 10(2) obliges the agreement to contain. Such national requirements remain permissible because the Directive leaves national rules on the validity of conclusion untouched, so long as they comply with EU law.</w:t>
      </w:r>
    </w:p>
    <w:p w14:paraId="6E61DE9D" w14:textId="77777777" w:rsidR="00DA3D22" w:rsidRPr="00DA3D22" w:rsidRDefault="00DA3D22" w:rsidP="00DA3D22">
      <w:pPr>
        <w:rPr>
          <w:rFonts w:ascii="Times New Roman" w:hAnsi="Times New Roman" w:cs="Times New Roman"/>
        </w:rPr>
      </w:pPr>
    </w:p>
    <w:p w14:paraId="3BA62359"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Thirdly, concerning Article 10(2)(h), the Court rejected a rigid formalism in relation to repayment dates. It held that the agreement need not specify the exact calendar date of every instalment. It is sufficient that the terms of the contract allow the consumer to ascertain the dates of payment without difficulty and with certainty by reference to objective criteria. The purpose of Article 10(2)(h) is functional: to ensure that the consumer can identify when each payment falls due, not to mandate one particular drafting technique.</w:t>
      </w:r>
    </w:p>
    <w:p w14:paraId="6FA6DFFA" w14:textId="77777777" w:rsidR="00DA3D22" w:rsidRPr="00DA3D22" w:rsidRDefault="00DA3D22" w:rsidP="00DA3D22">
      <w:pPr>
        <w:rPr>
          <w:rFonts w:ascii="Times New Roman" w:hAnsi="Times New Roman" w:cs="Times New Roman"/>
        </w:rPr>
      </w:pPr>
    </w:p>
    <w:p w14:paraId="6FEB6112"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Fourthly, as to Articles 10(2)(h) and 10(2)(i), the Court held that a fixed-term credit agreement providing for repayment of capital by consecutive instalments need not, at the moment of conclusion, include an amortisation table or specify the exact proportion of each instalment allocated to capital, interest and charges. Under the Directive, the creditor’s obligation is limited to stating the amount, number and frequency of payments and, where relevant, the order of allocation between outstanding balances. The amortisation table is instead a separate entitlement of the consumer, who may request it free of charge at any time during the life of the agreement.</w:t>
      </w:r>
    </w:p>
    <w:p w14:paraId="33F7D4EB" w14:textId="77777777" w:rsidR="00DA3D22" w:rsidRPr="00DA3D22" w:rsidRDefault="00DA3D22" w:rsidP="00DA3D22">
      <w:pPr>
        <w:rPr>
          <w:rFonts w:ascii="Times New Roman" w:hAnsi="Times New Roman" w:cs="Times New Roman"/>
        </w:rPr>
      </w:pPr>
    </w:p>
    <w:p w14:paraId="45B00C12"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 xml:space="preserve">Fifthly, reading those provisions together with Article 22(1), the Court held that Member States may not impose additional mandatory content requirements in an area fully harmonised by the Directive. Since Article 10(2) exhaustively harmonises the information that must appear in the agreement, national legislation cannot require inclusion of an amortisation schedule breaking down each instalment into capital and interest if the Directive </w:t>
      </w:r>
      <w:r w:rsidRPr="00DA3D22">
        <w:rPr>
          <w:rFonts w:ascii="Times New Roman" w:hAnsi="Times New Roman" w:cs="Times New Roman"/>
        </w:rPr>
        <w:lastRenderedPageBreak/>
        <w:t>itself does not. Article 10(2)(u), referring to “other contractual terms and conditions”, cannot be used to justify extra national disclosure obligations beyond those harmonised by EU law.</w:t>
      </w:r>
    </w:p>
    <w:p w14:paraId="0DCBDA12" w14:textId="77777777" w:rsidR="00DA3D22" w:rsidRPr="00DA3D22" w:rsidRDefault="00DA3D22" w:rsidP="00DA3D22">
      <w:pPr>
        <w:rPr>
          <w:rFonts w:ascii="Times New Roman" w:hAnsi="Times New Roman" w:cs="Times New Roman"/>
        </w:rPr>
      </w:pPr>
    </w:p>
    <w:p w14:paraId="1BA4CBA3" w14:textId="60799B9C" w:rsidR="005D056E" w:rsidRDefault="00DA3D22" w:rsidP="00DA3D22">
      <w:pPr>
        <w:rPr>
          <w:rFonts w:ascii="Times New Roman" w:hAnsi="Times New Roman" w:cs="Times New Roman"/>
        </w:rPr>
      </w:pPr>
      <w:r w:rsidRPr="00DA3D22">
        <w:rPr>
          <w:rFonts w:ascii="Times New Roman" w:hAnsi="Times New Roman" w:cs="Times New Roman"/>
        </w:rPr>
        <w:t>Finally, on Article 23, the Court accepted in principle a national penalty deeming the credit interest-free and free of charges where the agreement omits mandatory information, but only insofar as the omitted information is of such importance that its absence may impair the consumer’s ability to assess the extent of his liability. A sanction of forfeiture of interest and charges may be effective, dissuasive and proportionate where key items such as the APR, the number and frequency of payments, or required fees, sureties or insurance are missing. By contrast, imposing the same severe sanction for omission of information that by its nature cannot affect that assessment, such as the name and address of the competent supervisory authority, would be disproportionate.</w:t>
      </w:r>
    </w:p>
    <w:p w14:paraId="0D13070C" w14:textId="77777777" w:rsidR="00BA35E3" w:rsidRDefault="00BA35E3" w:rsidP="00DA3D22">
      <w:pPr>
        <w:rPr>
          <w:rFonts w:ascii="Times New Roman" w:hAnsi="Times New Roman" w:cs="Times New Roman"/>
        </w:rPr>
      </w:pPr>
    </w:p>
    <w:p w14:paraId="5B5C96DA" w14:textId="51DFAD95" w:rsidR="00DA3D22" w:rsidRPr="00DA3D22" w:rsidRDefault="005D056E" w:rsidP="00DA3D22">
      <w:pPr>
        <w:rPr>
          <w:rFonts w:ascii="Times New Roman" w:hAnsi="Times New Roman" w:cs="Times New Roman"/>
        </w:rPr>
      </w:pPr>
      <w:r>
        <w:rPr>
          <w:rFonts w:ascii="Times New Roman" w:hAnsi="Times New Roman" w:cs="Times New Roman"/>
        </w:rPr>
        <w:t>LLM (GPT) 4</w:t>
      </w:r>
    </w:p>
    <w:p w14:paraId="0A14110D" w14:textId="77777777" w:rsidR="00DA3D22" w:rsidRDefault="00DA3D22" w:rsidP="00DA3D22">
      <w:pPr>
        <w:pStyle w:val="NormalWeb"/>
      </w:pPr>
      <w:r>
        <w:t xml:space="preserve">The Court held first that Article 10(1) and (2), read with Article 3(m), does </w:t>
      </w:r>
      <w:r>
        <w:rPr>
          <w:rStyle w:val="Strong"/>
          <w:rFonts w:eastAsiaTheme="majorEastAsia"/>
        </w:rPr>
        <w:t>not</w:t>
      </w:r>
      <w:r>
        <w:t xml:space="preserve"> require all contractual information to appear in a single physical document. A credit agreement may consist of more than one document, provided that all information required by Article 10(2) is set out on paper or on another “durable medium” and is incorporated into the agreement. A durable medium is any instrument enabling the consumer to store information personally addressed to him, access it for an adequate period, and reproduce it unchanged. The decisive point is that the consumer must be able genuinely to know his rights and obligations; thus, where several documents are used, the agreement must contain a clear and precise cross-reference to the other documents containing the mandatory information. </w:t>
      </w:r>
    </w:p>
    <w:p w14:paraId="3EDEC9C2" w14:textId="77777777" w:rsidR="00DA3D22" w:rsidRDefault="00DA3D22" w:rsidP="00DA3D22">
      <w:pPr>
        <w:pStyle w:val="NormalWeb"/>
      </w:pPr>
      <w:r>
        <w:t xml:space="preserve">Secondly, the Directive does not itself require that a paper credit agreement be signed, since Article 10(1) refers to the medium, not to signature formalities. However, Article 10(1) expressly leaves untouched national rules governing the validity of the conclusion of credit agreements, provided those rules comply with EU law. It therefore does not preclude a Member State from requiring signature of the agreement and from extending that signature requirement to all information that must appear under Article 10(2). Signature requirements accordingly remain a matter of national contract-validity law rather than harmonised Union law. </w:t>
      </w:r>
    </w:p>
    <w:p w14:paraId="03EEED80" w14:textId="77777777" w:rsidR="00DA3D22" w:rsidRDefault="00DA3D22" w:rsidP="00DA3D22">
      <w:pPr>
        <w:pStyle w:val="NormalWeb"/>
      </w:pPr>
      <w:r>
        <w:t xml:space="preserve">Thirdly, as regards Article 10(2)(h), the Court ruled that the agreement need not specify the exact calendar date of every instalment. It is sufficient if the contractual terms enable the consumer to identify payment dates without difficulty and with certainty by reference to objective criteria. The Directive’s purpose is to ensure that the consumer knows when payments fall due, not to impose any single drafting technique. </w:t>
      </w:r>
    </w:p>
    <w:p w14:paraId="0019E8B3" w14:textId="77777777" w:rsidR="00DA3D22" w:rsidRDefault="00DA3D22" w:rsidP="00DA3D22">
      <w:pPr>
        <w:pStyle w:val="NormalWeb"/>
      </w:pPr>
      <w:r>
        <w:t xml:space="preserve">Fourthly, on Articles 10(2)(h) and (i), the Court distinguished between information that must be included in the contract and information that must be supplied upon request. In a fixed-term credit agreement with amortisation by instalments, the contract need only state the amount, number and frequency of payments; it need not include an amortisation table allocating each instalment between capital repayment, interest and other charges. Under </w:t>
      </w:r>
      <w:r>
        <w:lastRenderedPageBreak/>
        <w:t xml:space="preserve">Article 10(2)(i) and Article 10(3), the consumer instead has a right to receive such a table, free of charge, on request during the life of the agreement. Because Article 10(2) fully harmonises the information that must be included in the agreement, Article 22(1) precludes Member States from imposing an additional obligation to insert a full amortisation table into the contract itself. </w:t>
      </w:r>
    </w:p>
    <w:p w14:paraId="7D00BA0B" w14:textId="77777777" w:rsidR="00DA3D22" w:rsidRDefault="00DA3D22" w:rsidP="00DA3D22">
      <w:pPr>
        <w:pStyle w:val="NormalWeb"/>
      </w:pPr>
      <w:r>
        <w:t xml:space="preserve">Finally, in relation to Article 23, the Court held that national legislation may provide that a credit agreement lacking mandatory information is to be treated as interest-free and free of charges, but only insofar as the omitted information is of such importance that its absence may impair the consumer’s ability to assess the extent of his liability. Such a sanction may be effective, dissuasive and proportionate where the missing information is vital, such as the annual percentage rate of charge or repayment information. By contrast, the same severe sanction would be disproportionate where the omission concerns information that, by its nature, cannot affect the consumer’s assessment of liability, such as the identity of the supervisory authority. </w:t>
      </w:r>
    </w:p>
    <w:p w14:paraId="1FEE3FD8" w14:textId="77777777" w:rsidR="00DA3D22" w:rsidRDefault="00DA3D22" w:rsidP="00DA3D22">
      <w:pPr>
        <w:pStyle w:val="NormalWeb"/>
      </w:pPr>
      <w:r>
        <w:t>Overall, the judgment clarifies that Directive 2008/48 fully harmonises the substantive information required in consumer credit agreements, while leaving Member States some room on national rules of contractual validity and sanctions, subject to proportionality</w:t>
      </w:r>
    </w:p>
    <w:p w14:paraId="5229E6FC" w14:textId="77777777" w:rsidR="005D056E" w:rsidRDefault="005D056E" w:rsidP="005D056E">
      <w:pPr>
        <w:rPr>
          <w:rFonts w:ascii="Times New Roman" w:hAnsi="Times New Roman" w:cs="Times New Roman"/>
        </w:rPr>
      </w:pPr>
    </w:p>
    <w:p w14:paraId="015894E5" w14:textId="45861929" w:rsidR="005D056E" w:rsidRDefault="005D056E" w:rsidP="005D056E">
      <w:pPr>
        <w:rPr>
          <w:rFonts w:ascii="Times New Roman" w:hAnsi="Times New Roman" w:cs="Times New Roman"/>
        </w:rPr>
      </w:pPr>
      <w:r>
        <w:rPr>
          <w:rFonts w:ascii="Times New Roman" w:hAnsi="Times New Roman" w:cs="Times New Roman"/>
        </w:rPr>
        <w:t>LLM (GPT) 5</w:t>
      </w:r>
    </w:p>
    <w:p w14:paraId="59871B46" w14:textId="77777777" w:rsidR="00DA3D22" w:rsidRDefault="00DA3D22" w:rsidP="005D056E">
      <w:pPr>
        <w:rPr>
          <w:rFonts w:ascii="Times New Roman" w:hAnsi="Times New Roman" w:cs="Times New Roman"/>
        </w:rPr>
      </w:pPr>
    </w:p>
    <w:p w14:paraId="448CDC5B"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The Court held that Article 10 of Directive 2008/48 must be interpreted in light of the Directive’s objective of ensuring a high and equivalent level of consumer protection through full harmonisation of core aspects of consumer credit law. The requirement that the credit agreement be “drawn up on paper or on another durable medium” is intended to ensure that the consumer receives, retains and can reproduce, in unchanged form, all information necessary to understand his rights and obligations. A “durable medium” under Article 3(m) is therefore any medium enabling storage of personally addressed information for future reference for an adequate period and permitting unchanged reproduction.</w:t>
      </w:r>
    </w:p>
    <w:p w14:paraId="6AEE5B8F" w14:textId="77777777" w:rsidR="00DA3D22" w:rsidRPr="00DA3D22" w:rsidRDefault="00DA3D22" w:rsidP="00DA3D22">
      <w:pPr>
        <w:rPr>
          <w:rFonts w:ascii="Times New Roman" w:hAnsi="Times New Roman" w:cs="Times New Roman"/>
        </w:rPr>
      </w:pPr>
    </w:p>
    <w:p w14:paraId="553B683F"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However, the Directive does not require that all information listed in Article 10(2) be contained in a single physical document. A credit agreement may consist of more than one document, provided that all mandatory information is set out on paper or another durable medium and incorporated into the agreement by a clear and precise cross-reference, so that the consumer can genuinely acquaint himself with the entirety of his contractual rights and obligations.</w:t>
      </w:r>
    </w:p>
    <w:p w14:paraId="631B16EB" w14:textId="77777777" w:rsidR="00DA3D22" w:rsidRPr="00DA3D22" w:rsidRDefault="00DA3D22" w:rsidP="00DA3D22">
      <w:pPr>
        <w:rPr>
          <w:rFonts w:ascii="Times New Roman" w:hAnsi="Times New Roman" w:cs="Times New Roman"/>
        </w:rPr>
      </w:pPr>
    </w:p>
    <w:p w14:paraId="214B3401"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 xml:space="preserve">As to formal validity, Article 10(1) does not itself require a signature. The expressions “paper” and “durable medium” have an autonomous EU meaning and refer to the medium on which the agreement is recorded, not to national formalities such as signature. Nevertheless, </w:t>
      </w:r>
      <w:r w:rsidRPr="00DA3D22">
        <w:rPr>
          <w:rFonts w:ascii="Times New Roman" w:hAnsi="Times New Roman" w:cs="Times New Roman"/>
        </w:rPr>
        <w:lastRenderedPageBreak/>
        <w:t>the second subparagraph of Article 10(1) leaves intact national rules governing the validity of the conclusion of credit agreements, so long as those rules are compatible with EU law. Accordingly, Member States may require that a consumer credit agreement drawn up on paper be signed by the parties, and may also require that such signature extend to all elements of the agreement containing the information mandated by Article 10(2).</w:t>
      </w:r>
    </w:p>
    <w:p w14:paraId="5D16BCCA" w14:textId="77777777" w:rsidR="00DA3D22" w:rsidRPr="00DA3D22" w:rsidRDefault="00DA3D22" w:rsidP="00DA3D22">
      <w:pPr>
        <w:rPr>
          <w:rFonts w:ascii="Times New Roman" w:hAnsi="Times New Roman" w:cs="Times New Roman"/>
        </w:rPr>
      </w:pPr>
    </w:p>
    <w:p w14:paraId="4C557496"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On Article 10(2)(h), the Court held that a credit agreement need not specify the exact calendar date of every instalment. It is sufficient that the contractual terms enable the consumer to ascertain the due dates without difficulty and with certainty by reference to objective criteria. The decisive question is whether the consumer can clearly identify when payments fall due.</w:t>
      </w:r>
    </w:p>
    <w:p w14:paraId="05668B38" w14:textId="77777777" w:rsidR="00DA3D22" w:rsidRPr="00DA3D22" w:rsidRDefault="00DA3D22" w:rsidP="00DA3D22">
      <w:pPr>
        <w:rPr>
          <w:rFonts w:ascii="Times New Roman" w:hAnsi="Times New Roman" w:cs="Times New Roman"/>
        </w:rPr>
      </w:pPr>
    </w:p>
    <w:p w14:paraId="49F785F6" w14:textId="77777777" w:rsidR="00DA3D22" w:rsidRPr="00DA3D22" w:rsidRDefault="00DA3D22" w:rsidP="00DA3D22">
      <w:pPr>
        <w:rPr>
          <w:rFonts w:ascii="Times New Roman" w:hAnsi="Times New Roman" w:cs="Times New Roman"/>
        </w:rPr>
      </w:pPr>
      <w:r w:rsidRPr="00DA3D22">
        <w:rPr>
          <w:rFonts w:ascii="Times New Roman" w:hAnsi="Times New Roman" w:cs="Times New Roman"/>
        </w:rPr>
        <w:t>Regarding Articles 10(2)(h) and 10(2)(i), the Court distinguished between information that must appear in the agreement itself and information that need only be provided upon request. In a fixed-term credit agreement involving amortisation by successive instalments, the agreement need state only the amount, number and frequency of payments, and, where appropriate, the order in which payments are allocated. It does not have to contain an amortisation table showing, for each instalment, the breakdown between capital repayment, interest and charges. Under Article 10(2)(i) and Article 10(3), the consumer instead enjoys a separate right to receive such a table free of charge at any time during the life of the agreement. Since this matter is fully harmonised, Article 22(1) precludes a Member State from imposing, by national law, an obligation to include such a breakdown in the agreement itself.</w:t>
      </w:r>
    </w:p>
    <w:p w14:paraId="37DB050F" w14:textId="77777777" w:rsidR="00DA3D22" w:rsidRPr="00DA3D22" w:rsidRDefault="00DA3D22" w:rsidP="00DA3D22">
      <w:pPr>
        <w:rPr>
          <w:rFonts w:ascii="Times New Roman" w:hAnsi="Times New Roman" w:cs="Times New Roman"/>
        </w:rPr>
      </w:pPr>
    </w:p>
    <w:p w14:paraId="1B6A551E" w14:textId="685DF05B" w:rsidR="00DA3D22" w:rsidRDefault="00DA3D22" w:rsidP="00DA3D22">
      <w:pPr>
        <w:rPr>
          <w:rFonts w:ascii="Times New Roman" w:hAnsi="Times New Roman" w:cs="Times New Roman"/>
        </w:rPr>
      </w:pPr>
      <w:r w:rsidRPr="00DA3D22">
        <w:rPr>
          <w:rFonts w:ascii="Times New Roman" w:hAnsi="Times New Roman" w:cs="Times New Roman"/>
        </w:rPr>
        <w:t>Finally, under Article 23, national penalties for breach of the Directive must be effective, proportionate and dissuasive. The Court held that a national rule deeming the credit interest-free and free of charges may be compatible with EU law where omitted information concerns matters capable of affecting the consumer’s ability to assess the extent of his liability, such as the annual percentage rate of charge or repayment terms. By contrast, the same sanction would be disproportionate if triggered by omission of information that, by its nature, cannot affect that assessment.</w:t>
      </w:r>
    </w:p>
    <w:p w14:paraId="4D800C2D" w14:textId="35A2585A" w:rsidR="005D056E" w:rsidRPr="005D056E" w:rsidRDefault="00476E83" w:rsidP="005D056E">
      <w:pPr>
        <w:spacing w:after="0" w:line="240" w:lineRule="auto"/>
        <w:rPr>
          <w:rFonts w:ascii="Times New Roman" w:eastAsia="Times New Roman" w:hAnsi="Times New Roman" w:cs="Times New Roman"/>
          <w:kern w:val="0"/>
          <w:lang w:eastAsia="en-GB"/>
          <w14:ligatures w14:val="none"/>
        </w:rPr>
      </w:pPr>
      <w:r>
        <w:rPr>
          <w:noProof/>
        </w:rPr>
      </w:r>
      <w:r>
        <w:pict w14:anchorId="4C77B1B8">
          <v:rect id="Horizontal Line 1"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8A70845" w14:textId="77777777" w:rsidR="005D056E" w:rsidRDefault="005D056E" w:rsidP="005D056E">
      <w:pPr>
        <w:rPr>
          <w:rFonts w:ascii="Times New Roman" w:hAnsi="Times New Roman" w:cs="Times New Roman"/>
          <w:lang w:val="en-US"/>
        </w:rPr>
      </w:pPr>
    </w:p>
    <w:p w14:paraId="2BA81842" w14:textId="73F77DEE" w:rsidR="005D056E" w:rsidRPr="00321595" w:rsidRDefault="005D056E" w:rsidP="005D056E">
      <w:pPr>
        <w:rPr>
          <w:rFonts w:ascii="Times New Roman" w:hAnsi="Times New Roman" w:cs="Times New Roman"/>
          <w:lang w:val="en-US"/>
        </w:rPr>
      </w:pPr>
      <w:r w:rsidRPr="00321595">
        <w:rPr>
          <w:rFonts w:ascii="Times New Roman" w:hAnsi="Times New Roman" w:cs="Times New Roman"/>
          <w:lang w:val="en-US"/>
        </w:rPr>
        <w:t xml:space="preserve">LLM (Claude) 1 </w:t>
      </w:r>
    </w:p>
    <w:p w14:paraId="6F88D238"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Articles 3(m), 10(1)(2):</w:t>
      </w:r>
    </w:p>
    <w:p w14:paraId="6EF5ABD9"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 xml:space="preserve">The Court was asked to consider whether the expressions "on paper" and "on another durable medium" in Article 10(1) of Directive 2008/48/EC require all mandatory credit agreement </w:t>
      </w:r>
      <w:r w:rsidRPr="00321595">
        <w:rPr>
          <w:rFonts w:ascii="Times New Roman" w:hAnsi="Times New Roman" w:cs="Times New Roman"/>
        </w:rPr>
        <w:lastRenderedPageBreak/>
        <w:t>information to be contained within a single signed document, and whether national law may impose a signature requirement as a condition of validity.</w:t>
      </w:r>
    </w:p>
    <w:p w14:paraId="61CE8743"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The Court held that nothing in Directive 2008/48 requires a credit agreement to be drawn up in a single document. However, all information listed in Article 10(2) must nonetheless be set out on paper or on another durable medium and incorporated into the credit agreement. Where certain information is contained in a separate document — such as general terms and conditions — the agreement itself must contain a clear and precise cross-reference to that document, provided the document was actually given to the consumer prior to or at conclusion of the agreement. This approach ensures the consumer has a genuine opportunity to be apprised of all their rights and obligations, consistent with the consumer protection objective underpinning the directive.</w:t>
      </w:r>
    </w:p>
    <w:p w14:paraId="4B27F0AD"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On the question of the autonomous meaning of "paper" and "durable medium," the Court confirmed that these terms carry an EU-autonomous meaning and cannot be interpreted by reference to national law governing the formal requirements of credit agreements. The term "paper" refers simply to the medium on which an agreement is drawn up, without inherently requiring a signature. Nevertheless, the second subparagraph of Article 10(1) expressly preserves national rules on the validity of credit agreements, provided they are in conformity with EU law. Accordingly, national legislation requiring a credit agreement drawn up on paper to be signed by the parties — including in respect of all the information referred to in Article 10(2) — is not precluded by the directive or by EU law more generally. Such a requirement falls within the reserved area of national contract law governing the validity of the conclusion of credit agreements.</w:t>
      </w:r>
    </w:p>
    <w:p w14:paraId="564906CC"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Articles 10(2)(h)(i), 22(1), 23:</w:t>
      </w:r>
    </w:p>
    <w:p w14:paraId="4A9693CE"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The Court addressed three further issues: the form in which payment dates must be expressed; whether an amortisation table must be incorporated into the credit agreement itself; and the proportionality of a national penalty deeming a credit agreement interest-free and free of charges where mandatory information is absent.</w:t>
      </w:r>
    </w:p>
    <w:p w14:paraId="0DB11B8F"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As to payment dates, Article 10(2)(h) requires the agreement to specify the amount, number and frequency of payments. The Court held that it is not necessary for a credit agreement to state the specific calendar date of each payment. It is sufficient that the terms of the agreement enable the consumer to ascertain those dates without difficulty and with certainty — for example, by reference to objective and ascertainable criteria such as a fixed day of the month following signature.</w:t>
      </w:r>
    </w:p>
    <w:p w14:paraId="5E7AE8A2"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 xml:space="preserve">On the amortisation table, the Court held that Articles 10(2)(h) and (i), read together, do not require a fixed-term credit agreement to include, at the time of conclusion, a breakdown of each instalment showing the allocation between capital repayment and interest. Article 10(2)(i) and Article 10(3) make clear that the consumer is entitled to such a statement only on request, free of charge, at any time during the agreement's duration. Since Article 10(2) represents a harmonised field under the directive, Article 22(1) precludes Member States </w:t>
      </w:r>
      <w:r w:rsidRPr="00321595">
        <w:rPr>
          <w:rFonts w:ascii="Times New Roman" w:hAnsi="Times New Roman" w:cs="Times New Roman"/>
        </w:rPr>
        <w:lastRenderedPageBreak/>
        <w:t>from imposing by national law an obligation to include such an amortisation table in the agreement itself.</w:t>
      </w:r>
    </w:p>
    <w:p w14:paraId="2C3B64B9" w14:textId="77777777" w:rsidR="005D056E" w:rsidRPr="00321595" w:rsidRDefault="005D056E" w:rsidP="005D056E">
      <w:pPr>
        <w:rPr>
          <w:rFonts w:ascii="Times New Roman" w:hAnsi="Times New Roman" w:cs="Times New Roman"/>
        </w:rPr>
      </w:pPr>
      <w:r w:rsidRPr="00321595">
        <w:rPr>
          <w:rFonts w:ascii="Times New Roman" w:hAnsi="Times New Roman" w:cs="Times New Roman"/>
        </w:rPr>
        <w:t>Finally, on penalties, the Court confirmed that Article 23 does not preclude a Member State from providing that a credit agreement is deemed interest-free and free of charges where mandatory information is omitted, but only where the omitted information is of a kind that may compromise the consumer's ability to assess the extent of their liability — such as the annual percentage rate, the number and frequency of payments, or required sureties and insurance. Conversely, applying such a severe penalty for the omission of information that cannot bear on the consumer's understanding of their financial obligations — such as the name of the competent supervisory authority under Article 10(2)(v) — would be disproportionate and incompatible with Article 23.</w:t>
      </w:r>
    </w:p>
    <w:p w14:paraId="7D93C6D3" w14:textId="77777777" w:rsidR="005D056E" w:rsidRPr="00321595" w:rsidRDefault="005D056E" w:rsidP="005D056E">
      <w:pPr>
        <w:rPr>
          <w:rFonts w:ascii="Times New Roman" w:hAnsi="Times New Roman" w:cs="Times New Roman"/>
        </w:rPr>
      </w:pPr>
    </w:p>
    <w:p w14:paraId="6AB76E9F" w14:textId="77777777" w:rsidR="005D056E" w:rsidRPr="00321595" w:rsidRDefault="005D056E" w:rsidP="005D056E">
      <w:pPr>
        <w:rPr>
          <w:rFonts w:ascii="Times New Roman" w:hAnsi="Times New Roman" w:cs="Times New Roman"/>
        </w:rPr>
      </w:pPr>
    </w:p>
    <w:p w14:paraId="1A1BB104" w14:textId="77777777" w:rsidR="005D056E" w:rsidRDefault="005D056E" w:rsidP="005D056E">
      <w:pPr>
        <w:rPr>
          <w:rFonts w:ascii="Times New Roman" w:hAnsi="Times New Roman" w:cs="Times New Roman"/>
        </w:rPr>
      </w:pPr>
      <w:r>
        <w:rPr>
          <w:rFonts w:ascii="Times New Roman" w:hAnsi="Times New Roman" w:cs="Times New Roman"/>
        </w:rPr>
        <w:t>LLM (Claude) 2</w:t>
      </w:r>
      <w:r>
        <w:rPr>
          <w:rFonts w:ascii="Times New Roman" w:hAnsi="Times New Roman" w:cs="Times New Roman"/>
        </w:rPr>
        <w:br/>
      </w:r>
    </w:p>
    <w:p w14:paraId="6A728C07"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Articles 3(m), 10(1)(2):</w:t>
      </w:r>
    </w:p>
    <w:p w14:paraId="4772D138"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The Court was asked to clarify whether a consumer credit agreement governed by Directive 2008/48/EC must be contained in a single document, whether a paper-based agreement must be signed by the parties, and whether any signature requirement extends to all information forming part of that agreement.</w:t>
      </w:r>
    </w:p>
    <w:p w14:paraId="1AD121AB"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On the question of document form, the Court held that Article 10(1) does not require all mandatory information to be consolidated within a single document. A credit agreement may therefore refer to a separate document — such as general terms and conditions — provided that any such cross-reference is clear and precise, and that the separate document is itself drawn up on paper or on another durable medium as defined by Article 3(m). The Court emphasised that the durable medium requirement serves a substantive protective purpose: the consumer must be able to store the information personally addressed to him, rely on its content remaining unaltered, and reproduce it unchanged over an adequate period. Accordingly, the cross-referenced document must genuinely satisfy those characteristics and must have been actually provided to the consumer prior to or at conclusion of the agreement, so as to give him a genuine opportunity to be apprised of all his rights and obligations.</w:t>
      </w:r>
    </w:p>
    <w:p w14:paraId="64056C2B"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 xml:space="preserve">On the question of signature, the Court observed that Article 10(1) specifies the medium on which an agreement must be drawn up — paper or another durable medium — without itself imposing any signature requirement. The terms "paper" and "durable medium" carry an autonomous EU law meaning and cannot be interpreted by reference to national formal requirements. That said, the Court confirmed that the second subparagraph of Article 10(1) expressly preserves national rules on the validity of the conclusion of credit agreements, provided those rules are in conformity with EU law. A Member State may therefore lawfully require that a paper-based credit agreement be signed by both parties as a condition of </w:t>
      </w:r>
      <w:r w:rsidRPr="005D056E">
        <w:rPr>
          <w:rFonts w:ascii="Times New Roman" w:hAnsi="Times New Roman" w:cs="Times New Roman"/>
        </w:rPr>
        <w:lastRenderedPageBreak/>
        <w:t>validity. Furthermore, where national law extends that signature requirement to all of the information to be included in the agreement pursuant to Article 10(2), neither the Directive nor EU law in general precludes such an approach.</w:t>
      </w:r>
    </w:p>
    <w:p w14:paraId="3F139FAA" w14:textId="77777777" w:rsidR="005D056E" w:rsidRPr="005D056E" w:rsidRDefault="005D056E" w:rsidP="005D056E">
      <w:pPr>
        <w:rPr>
          <w:rFonts w:ascii="Times New Roman" w:hAnsi="Times New Roman" w:cs="Times New Roman"/>
        </w:rPr>
      </w:pPr>
    </w:p>
    <w:p w14:paraId="6EE101C4"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Articles 10(2)(h)(i), 22(1), 23:</w:t>
      </w:r>
    </w:p>
    <w:p w14:paraId="490DA135"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The Court addressed three further issues: the level of precision required when indicating payment dates; whether an amortisation table must be incorporated into a fixed-term credit agreement; and the proportionality of a national penalty that deems non-compliant credit to be interest-free and charge-free.</w:t>
      </w:r>
    </w:p>
    <w:p w14:paraId="2AEE4266"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Regarding payment dates under Article 10(2)(h), the Court held that a credit agreement is not required to state each individual payment date as a precise calendar date. It is sufficient that the terms of the agreement enable the consumer to ascertain those dates without difficulty and with certainty — for instance, by reference to a defined interval from a fixed starting point. The objective of the provision is simply to ensure the consumer can reliably identify when each payment falls due, and that objective is met by objectively ascertainable criteria.</w:t>
      </w:r>
    </w:p>
    <w:p w14:paraId="11761C39"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On amortisation tables, the Court read Articles 10(2)(h) and (i) together with Article 10(3) and found that the Directive imposes no obligation to include a breakdown of each instalment as between capital and interest within the credit agreement itself. The consumer's entitlement under Article 10(2)(i) is to request such a table at any time during the agreement, free of charge — it is a right triggered on demand, not a mandatory contractual term. Since Article 10(2) constitutes a harmonised provision governing mandatory agreement content, Article 22(1) correspondingly precludes a Member State from imposing by national law an obligation to include an amortisation table in the agreement.</w:t>
      </w:r>
    </w:p>
    <w:p w14:paraId="687086AF" w14:textId="7B257006" w:rsidR="005D056E" w:rsidRDefault="005D056E" w:rsidP="005D056E">
      <w:pPr>
        <w:rPr>
          <w:rFonts w:ascii="Times New Roman" w:hAnsi="Times New Roman" w:cs="Times New Roman"/>
        </w:rPr>
      </w:pPr>
      <w:r w:rsidRPr="005D056E">
        <w:rPr>
          <w:rFonts w:ascii="Times New Roman" w:hAnsi="Times New Roman" w:cs="Times New Roman"/>
        </w:rPr>
        <w:t>Finally, on proportionality of penalties under Article 23, the Court held that deeming a credit agreement interest-free and free of charges is a permissible national penalty, but only where the omitted information concerns matters that, if absent, could compromise the consumer's ability to assess the extent of his liability — such as the annual percentage rate of charge, the number and frequency of payments, or applicable sureties. Conversely, applying so severe a sanction for the omission of information that by its nature cannot affect the consumer's assessment of his liability — such as the address of the competent supervisory authority — would be disproportionate and therefore incompatible with Article 23.</w:t>
      </w:r>
    </w:p>
    <w:p w14:paraId="3362A578" w14:textId="77777777" w:rsidR="005D056E" w:rsidRDefault="005D056E" w:rsidP="005D056E">
      <w:pPr>
        <w:rPr>
          <w:rFonts w:ascii="Times New Roman" w:hAnsi="Times New Roman" w:cs="Times New Roman"/>
        </w:rPr>
      </w:pPr>
      <w:r>
        <w:rPr>
          <w:rFonts w:ascii="Times New Roman" w:hAnsi="Times New Roman" w:cs="Times New Roman"/>
        </w:rPr>
        <w:br/>
        <w:t>LLM (Claude) 3</w:t>
      </w:r>
      <w:r>
        <w:rPr>
          <w:rFonts w:ascii="Times New Roman" w:hAnsi="Times New Roman" w:cs="Times New Roman"/>
        </w:rPr>
        <w:br/>
      </w:r>
    </w:p>
    <w:p w14:paraId="6D68E2D0"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Articles 3(m), 10(1) and (2) of Directive 2008/48/EC</w:t>
      </w:r>
    </w:p>
    <w:p w14:paraId="6BD22FE2"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The Court was asked to interpret the requirements governing the form and content of consumer credit agreements, specifically the meaning of "on paper" and "on another durable medium" under Article 10(1), and whether the mandatory information listed in Article 10(2) must be contained within a single signed document.</w:t>
      </w:r>
    </w:p>
    <w:p w14:paraId="7983E7B6"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lastRenderedPageBreak/>
        <w:t>The Court held that a credit agreement need not be drawn up in a single document. Nothing in Directive 2008/48 imposes such a requirement. However, all information listed in Article 10(2) must nonetheless be set out on paper or on another durable medium and incorporated into the credit agreement. Where certain mandatory particulars are contained in a separate document — such as general terms and conditions — the credit agreement itself must contain a clear and precise cross-reference to that document, ensuring the consumer is genuinely apprised of all their rights and obligations. A document satisfies the "durable medium" requirement within the meaning of Article 3(m) where it enables the consumer to store information addressed personally to them, ensures that content remains unaltered, remains accessible for an adequate period, and permits unchanged reproduction.</w:t>
      </w:r>
    </w:p>
    <w:p w14:paraId="545D1FA3"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As regards the requirement of signature, the Court clarified that the term "paper" in Article 10(1) refers solely to the medium on which the agreement is drawn up and carries no inherent requirement of signature as a matter of EU law. The terms "paper" and "durable medium" bear an autonomous EU meaning and cannot be interpreted by reference to national formal requirements. Nevertheless, the second subparagraph of Article 10(1) expressly preserves national rules governing the validity of the conclusion of credit agreements, provided those rules conform with EU law. Accordingly, a Member State may lawfully require, under national law, that a credit agreement drawn up on paper be signed by the parties, and may further require that the signature obligation extend to all the information mandated by Article 10(2). Neither Directive 2008/48 nor EU law in general precludes such requirements.</w:t>
      </w:r>
    </w:p>
    <w:p w14:paraId="1393870F" w14:textId="77777777" w:rsidR="005D056E" w:rsidRPr="005D056E" w:rsidRDefault="005D056E" w:rsidP="005D056E">
      <w:pPr>
        <w:rPr>
          <w:rFonts w:ascii="Times New Roman" w:hAnsi="Times New Roman" w:cs="Times New Roman"/>
        </w:rPr>
      </w:pPr>
    </w:p>
    <w:p w14:paraId="1DB111EF"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Articles 10(2)(h) and (i), 22(1), and 23 of Directive 2008/48/EC</w:t>
      </w:r>
    </w:p>
    <w:p w14:paraId="2D09BC3E"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The Court was additionally asked to determine the scope of the payment information obligation in Article 10(2)(h), whether a fixed-term credit agreement must incorporate a full amortisation table, and whether the penalty of forfeiture of entitlement to interest and charges for non-compliance is consistent with the proportionality requirement in Article 23.</w:t>
      </w:r>
    </w:p>
    <w:p w14:paraId="698755C3"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On the question of payment dates, the Court held that Article 10(2)(h) does not require a credit agreement to state the specific calendar date on which each payment falls due. It is sufficient that the terms of the agreement allow the consumer to ascertain those dates without difficulty and with certainty — for example, by reference to objectively determinable criteria such as a defined monthly cycle.</w:t>
      </w:r>
    </w:p>
    <w:p w14:paraId="07F1FF5F"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On amortisation, the Court held that Article 10(2)(h) and (i), read together, do not oblige a creditor to include a full amortisation table in the credit agreement itself. Article 10(2)(i) and Article 10(3) make clear that the consumer's entitlement to an amortisation table arises only upon request during the term of the agreement. Since Article 10(2) constitutes harmonised EU law governing mandatory contractual content, Article 22(1) precludes Member States from imposing a national obligation to include such a table in the agreement.</w:t>
      </w:r>
    </w:p>
    <w:p w14:paraId="631EE23F" w14:textId="69DE97B5" w:rsidR="005D056E" w:rsidRDefault="005D056E" w:rsidP="005D056E">
      <w:pPr>
        <w:rPr>
          <w:rFonts w:ascii="Times New Roman" w:hAnsi="Times New Roman" w:cs="Times New Roman"/>
        </w:rPr>
      </w:pPr>
      <w:r w:rsidRPr="005D056E">
        <w:rPr>
          <w:rFonts w:ascii="Times New Roman" w:hAnsi="Times New Roman" w:cs="Times New Roman"/>
        </w:rPr>
        <w:t xml:space="preserve">Finally, on penalties, the Court held that Article 23 does not preclude national legislation providing that a credit agreement is deemed interest-free and free of charges where it fails to include information required under Article 10(2), provided that the omitted information is of </w:t>
      </w:r>
      <w:r w:rsidRPr="005D056E">
        <w:rPr>
          <w:rFonts w:ascii="Times New Roman" w:hAnsi="Times New Roman" w:cs="Times New Roman"/>
        </w:rPr>
        <w:lastRenderedPageBreak/>
        <w:t>a nature capable of compromising the consumer's ability to assess the extent of their liability — such as the annual percentage rate of charge, the number and frequency of payments, and information on sureties and insurance. By contrast, forfeiture of interest as a penalty for omission of information that by its nature cannot affect the consumer's assessment of their liability — such as the name and address of the supervisory authority under Article 10(2)(v) — would be disproportionate and therefore incompatible with Article 23.</w:t>
      </w:r>
    </w:p>
    <w:p w14:paraId="6A72BD37" w14:textId="77777777" w:rsidR="005D056E" w:rsidRDefault="005D056E" w:rsidP="005D056E">
      <w:pPr>
        <w:rPr>
          <w:rFonts w:ascii="Times New Roman" w:hAnsi="Times New Roman" w:cs="Times New Roman"/>
        </w:rPr>
      </w:pPr>
    </w:p>
    <w:p w14:paraId="4ED1D1E7" w14:textId="77777777" w:rsidR="005D056E" w:rsidRDefault="005D056E" w:rsidP="005D056E">
      <w:pPr>
        <w:rPr>
          <w:rFonts w:ascii="Times New Roman" w:hAnsi="Times New Roman" w:cs="Times New Roman"/>
        </w:rPr>
      </w:pPr>
      <w:r>
        <w:rPr>
          <w:rFonts w:ascii="Times New Roman" w:hAnsi="Times New Roman" w:cs="Times New Roman"/>
        </w:rPr>
        <w:t>LLM (Claude) 4</w:t>
      </w:r>
      <w:r>
        <w:rPr>
          <w:rFonts w:ascii="Times New Roman" w:hAnsi="Times New Roman" w:cs="Times New Roman"/>
        </w:rPr>
        <w:br/>
      </w:r>
    </w:p>
    <w:p w14:paraId="033D1239"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Articles 3(m), 10(1)(2):</w:t>
      </w:r>
    </w:p>
    <w:p w14:paraId="58F0BA18"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The Court was asked to consider whether all mandatory information required under Article 10(2) of Directive 2008/48/EC must be contained within a single, signed document in order to constitute a valid credit agreement drawn up "on paper or on another durable medium" within the meaning of Article 10(1), and whether national law may lawfully impose a signature requirement extending to all such information.</w:t>
      </w:r>
    </w:p>
    <w:p w14:paraId="26201D10"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The Court held that nothing in Directive 2008/48 requires a credit agreement to be drawn up in a single document. However, all information listed in Article 10(2) must nonetheless be set out on paper or on another durable medium and incorporated into the credit agreement. Where certain mandatory details are contained in a separate document — such as general terms and conditions — the signed agreement must contain a clear and precise cross-reference to that separate document, ensuring the consumer is genuinely apprised of all rights and obligations. This cross-referencing requirement flows from the obligation under Article 10(2) to present information in a clear and concise manner, and is consistent with the definition of "durable medium" in Article 3(m), which requires that information be stored in a way accessible for future reference, allowing for unchanged reproduction. The medium must enable the consumer, similarly to paper form, to exercise his rights effectively.</w:t>
      </w:r>
    </w:p>
    <w:p w14:paraId="3907C056"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On the question of signature, the Court noted that Article 10(1) makes no reference to national law and that the terms "paper" and "durable medium" carry an autonomous EU meaning, neither of which inherently requires a signature. Nevertheless, the second subparagraph of Article 10(1) expressly preserves national rules on the validity of credit agreements that are in conformity with EU law. A national requirement that credit agreements drawn up on paper be signed by the parties — and that this requirement extend to all information referred to in Article 10(2) — falls within this preserved domain of national contract law validity rules. Accordingly, neither Directive 2008/48 nor EU law in general precludes such a national requirement.</w:t>
      </w:r>
    </w:p>
    <w:p w14:paraId="796A6EB1"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Articles 10(2)(h)(i), 22(1), 23:</w:t>
      </w:r>
    </w:p>
    <w:p w14:paraId="03257923"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The Court addressed, first, the level of specificity required when indicating payment dates under Article 10(2)(h), and second, whether a fixed-term credit agreement must include a full amortisation table allocating each instalment between capital and interest repayment.</w:t>
      </w:r>
    </w:p>
    <w:p w14:paraId="4FA4D85B"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lastRenderedPageBreak/>
        <w:t>Regarding Article 10(2)(h), the Court held that a credit agreement need not specify the precise calendar date of each individual payment. It is sufficient that the terms of the agreement allow the consumer to ascertain those payment dates without difficulty and with certainty — for example, by reference to objective criteria such as a fixed monthly due date or a defined interval from the date of execution. The purpose of the provision is to ensure consumers know when payments fall due, and that objective is met where the agreement provides a reliable and ascertainable formula.</w:t>
      </w:r>
    </w:p>
    <w:p w14:paraId="020CEE16"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On Articles 10(2)(h) and (i) read together, the Court found that Directive 2008/48 does not require a fixed-term credit agreement to include, at the point of conclusion, an amortisation table breaking down each instalment into its capital and interest components. Article 10(2)(i) and Article 10(3) together establish that the consumer's right to an amortisation table arises only upon request and at any time during the agreement's duration, at no charge. Since Article 10(2) constitutes a harmonised provision governing mandatory agreement content, Member States are precluded by Article 22(1) from imposing any additional obligation — such as requiring inclusion of a full amortisation table in the agreement itself — that goes beyond what the directive mandates.</w:t>
      </w:r>
    </w:p>
    <w:p w14:paraId="0731CDA2" w14:textId="45167000" w:rsidR="005D056E" w:rsidRDefault="005D056E" w:rsidP="005D056E">
      <w:pPr>
        <w:rPr>
          <w:rFonts w:ascii="Times New Roman" w:hAnsi="Times New Roman" w:cs="Times New Roman"/>
        </w:rPr>
      </w:pPr>
      <w:r w:rsidRPr="005D056E">
        <w:rPr>
          <w:rFonts w:ascii="Times New Roman" w:hAnsi="Times New Roman" w:cs="Times New Roman"/>
        </w:rPr>
        <w:t>Finally, on Article 23, the Court confirmed that a Member State may lawfully provide that failure to include mandatory information renders the credit interest-free and charge-free, but only where the omitted information is of a nature capable of compromising the consumer's ability to assess the extent of his liability. Penalties applied to the omission of information that cannot affect that assessment — such as the name and address of the competent supervisory authority — would not satisfy the proportionality requirement under Article 23.</w:t>
      </w:r>
    </w:p>
    <w:p w14:paraId="626E6C79" w14:textId="77777777" w:rsidR="005D056E" w:rsidRDefault="005D056E" w:rsidP="005D056E">
      <w:pPr>
        <w:rPr>
          <w:rFonts w:ascii="Times New Roman" w:hAnsi="Times New Roman" w:cs="Times New Roman"/>
        </w:rPr>
      </w:pPr>
    </w:p>
    <w:p w14:paraId="3FA1578A" w14:textId="41444AD4" w:rsidR="005D056E" w:rsidRDefault="005D056E" w:rsidP="005D056E">
      <w:pPr>
        <w:rPr>
          <w:rFonts w:ascii="Times New Roman" w:hAnsi="Times New Roman" w:cs="Times New Roman"/>
        </w:rPr>
      </w:pPr>
      <w:r>
        <w:rPr>
          <w:rFonts w:ascii="Times New Roman" w:hAnsi="Times New Roman" w:cs="Times New Roman"/>
        </w:rPr>
        <w:t>LLM (Claude) 5</w:t>
      </w:r>
    </w:p>
    <w:p w14:paraId="33A44514" w14:textId="77777777" w:rsidR="005D056E" w:rsidRDefault="005D056E" w:rsidP="005D056E">
      <w:pPr>
        <w:rPr>
          <w:rFonts w:ascii="Times New Roman" w:hAnsi="Times New Roman" w:cs="Times New Roman"/>
        </w:rPr>
      </w:pPr>
    </w:p>
    <w:p w14:paraId="054A3AA3"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Articles 3(m), 10(1)(2): Form, Medium and Content Requirements for Consumer Credit Agreements</w:t>
      </w:r>
    </w:p>
    <w:p w14:paraId="0BB83E75"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 credit agreement falling within the scope of Directive 2008/48/EC need not be drawn up in a single document. However, all information listed in Article 10(2) must be set out on paper or on another durable medium and incorporated into the credit agreement. Where certain mandatory particulars are contained in a separate document — such as general terms and conditions — the credit agreement itself must contain a clear and precise cross-reference to that document, provided the information was actually given to the consumer prior to or at the time of conclusion of the agreement, enabling the consumer to be genuinely apprised of all his rights and obligations. The rationale for this requirement is rooted in the objective of Directive 2008/48, namely to achieve full and mandatory harmonisation across Member States in key areas of consumer credit, ensuring that all consumers in the Union enjoy a high and equivalent level of protection.</w:t>
      </w:r>
    </w:p>
    <w:p w14:paraId="3640CDAB"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lastRenderedPageBreak/>
        <w:t>The terms "paper" and "durable medium" in Article 10(1) carry an autonomous meaning under EU law and are not to be interpreted by reference to national law governing the formal requirements for credit agreements. Whereas "paper" refers simply to the medium on which the agreement is drawn up and does not of itself carry a signature requirement, the directive expressly reserves to Member States the power to regulate the validity of credit agreements under national law, provided such rules conform with EU law. Accordingly, a Member State may lawfully require, as a condition of validity, that a credit agreement drawn up on paper be signed by the parties. Moreover, where national law extends the signature requirement to all the information to be provided in the agreement — encompassing both the body of the contract and any incorporated documents — neither Directive 2008/48 nor EU law generally precludes such a requirement. The question of whether national law in fact imposes that requirement in the particular case remains a matter for the referring court to determine.</w:t>
      </w:r>
    </w:p>
    <w:p w14:paraId="6F1EF7AE" w14:textId="77777777" w:rsidR="005D056E" w:rsidRPr="005D056E" w:rsidRDefault="005D056E" w:rsidP="005D056E">
      <w:pPr>
        <w:rPr>
          <w:rFonts w:ascii="Times New Roman" w:hAnsi="Times New Roman" w:cs="Times New Roman"/>
        </w:rPr>
      </w:pPr>
    </w:p>
    <w:p w14:paraId="1210B0E5"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Articles 10(2)(h)(i), 22(1), 23: Payment Dates, Amortisation Tables and Proportionality of Penalties</w:t>
      </w:r>
    </w:p>
    <w:p w14:paraId="255EFD36"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Article 10(2)(h) requires a credit agreement to specify the amount, number and frequency of payments to be made by the consumer. This provision does not, however, require the agreement to indicate the precise calendar date on which each individual payment falls due. It is sufficient that the terms of the agreement allow the consumer to ascertain those dates without difficulty and with certainty — for example, by reference to objective criteria such as "monthly instalments due by the 15th day of each calendar month." The purpose of the provision is to ensure the consumer is adequately informed, and that objective is attained where payment dates are determinable with clarity from the agreement's terms.</w:t>
      </w:r>
    </w:p>
    <w:p w14:paraId="4824C70D" w14:textId="77777777" w:rsidR="005D056E" w:rsidRPr="005D056E" w:rsidRDefault="005D056E" w:rsidP="005D056E">
      <w:pPr>
        <w:rPr>
          <w:rFonts w:ascii="Times New Roman" w:hAnsi="Times New Roman" w:cs="Times New Roman"/>
        </w:rPr>
      </w:pPr>
      <w:r w:rsidRPr="005D056E">
        <w:rPr>
          <w:rFonts w:ascii="Times New Roman" w:hAnsi="Times New Roman" w:cs="Times New Roman"/>
        </w:rPr>
        <w:t>As regards amortisation, Article 10(2)(i), read together with Article 10(3), establishes that a creditor is obliged to provide the consumer, on request and free of charge, with a statement of account in the form of an amortisation table throughout the duration of a fixed-term credit agreement. This right is additional in nature; it does not impose an obligation on the creditor to include a full amortisation table in the credit agreement itself at the time of conclusion. Since Article 10(2) constitutes a harmonised provision, Article 22(1) precludes Member States from imposing under national law any additional obligation to incorporate such a table into the agreement itself.</w:t>
      </w:r>
    </w:p>
    <w:p w14:paraId="1681102B" w14:textId="651A520E" w:rsidR="005D056E" w:rsidRPr="005D056E" w:rsidRDefault="005D056E" w:rsidP="005D056E">
      <w:pPr>
        <w:rPr>
          <w:rFonts w:ascii="Times New Roman" w:hAnsi="Times New Roman" w:cs="Times New Roman"/>
        </w:rPr>
      </w:pPr>
      <w:r w:rsidRPr="005D056E">
        <w:rPr>
          <w:rFonts w:ascii="Times New Roman" w:hAnsi="Times New Roman" w:cs="Times New Roman"/>
        </w:rPr>
        <w:t>On penalties, Article 23 requires Member States to provide rules that are effective, proportionate and dissuasive. A national rule deeming a credit agreement interest-free and free of charges where mandatory information is absent is permissible, but only where the omitted information concerns matters capable of compromising the consumer's ability to assess the extent of his liability — such as the annual percentage rate of charge, the number and frequency of payments, or applicable sureties. Imposing the same severe penalty for the omission of information that cannot materially affect the consumer's assessment of liability — such as the name of the competent supervisory authority — would be disproportionate and therefore incompatible with Article 23.</w:t>
      </w:r>
    </w:p>
    <w:p w14:paraId="727C2A33" w14:textId="6470B6BB" w:rsidR="005D056E" w:rsidRDefault="00476E83" w:rsidP="005D056E">
      <w:pPr>
        <w:spacing w:after="0" w:line="240" w:lineRule="auto"/>
        <w:rPr>
          <w:rFonts w:ascii="Times New Roman" w:eastAsia="Times New Roman" w:hAnsi="Times New Roman" w:cs="Times New Roman"/>
          <w:kern w:val="0"/>
          <w:lang w:eastAsia="en-GB"/>
          <w14:ligatures w14:val="none"/>
        </w:rPr>
      </w:pPr>
      <w:r>
        <w:pict w14:anchorId="331807B0">
          <v:rect 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A630CD" w14:textId="77777777" w:rsidR="005D056E" w:rsidRPr="005D056E" w:rsidRDefault="005D056E" w:rsidP="005D056E">
      <w:pPr>
        <w:spacing w:after="0" w:line="240" w:lineRule="auto"/>
        <w:rPr>
          <w:rFonts w:ascii="Times New Roman" w:eastAsia="Times New Roman" w:hAnsi="Times New Roman" w:cs="Times New Roman"/>
          <w:kern w:val="0"/>
          <w:lang w:eastAsia="en-GB"/>
          <w14:ligatures w14:val="none"/>
        </w:rPr>
      </w:pPr>
    </w:p>
    <w:p w14:paraId="0ACA8DD6" w14:textId="7EBBB966" w:rsidR="00321595" w:rsidRPr="00BA35E3" w:rsidRDefault="00321595">
      <w:pPr>
        <w:rPr>
          <w:rFonts w:ascii="Times New Roman" w:hAnsi="Times New Roman" w:cs="Times New Roman"/>
          <w:lang w:val="en-US"/>
        </w:rPr>
      </w:pPr>
      <w:r w:rsidRPr="00BA35E3">
        <w:rPr>
          <w:rFonts w:ascii="Times New Roman" w:hAnsi="Times New Roman" w:cs="Times New Roman"/>
          <w:lang w:val="en-US"/>
        </w:rPr>
        <w:t>LLM (</w:t>
      </w:r>
      <w:r w:rsidR="005D056E" w:rsidRPr="005D056E">
        <w:rPr>
          <w:rFonts w:ascii="Times New Roman" w:hAnsi="Times New Roman" w:cs="Times New Roman"/>
          <w:lang w:val="en-US"/>
        </w:rPr>
        <w:t>Granite</w:t>
      </w:r>
      <w:r w:rsidRPr="00BA35E3">
        <w:rPr>
          <w:rFonts w:ascii="Times New Roman" w:hAnsi="Times New Roman" w:cs="Times New Roman"/>
          <w:lang w:val="en-US"/>
        </w:rPr>
        <w:t xml:space="preserve">) 1 </w:t>
      </w:r>
    </w:p>
    <w:p w14:paraId="0AC222C6" w14:textId="77777777" w:rsidR="00321595" w:rsidRDefault="00321595" w:rsidP="00321595">
      <w:pPr>
        <w:rPr>
          <w:rFonts w:ascii="Times New Roman" w:hAnsi="Times New Roman" w:cs="Times New Roman"/>
        </w:rPr>
      </w:pPr>
    </w:p>
    <w:p w14:paraId="38FC5603"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3(m), 10(1)(2)</w:t>
      </w:r>
    </w:p>
    <w:p w14:paraId="437C8EAD"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The Court of Justice of the European Union (CJEU) interpreted Articles 3(m), 10(1)(2) of Directive 2008/48 in the context of national legislation requiring all information specified in Article 10(2)(a) to (v) to be contained in a single signed document. The Court held that such national legislation or practice does not contravene the directive, provided that the credit agreement, as a whole, complies with the requirement to be drawn up on "another durable medium" within the meaning of Article 10(1). The Court emphasized that while all the information listed in Article 10(2) must be set out on paper or another durable medium and incorporated into the credit agreement, it is not necessary for all this information to be included in a single document. However, the credit agreement must contain a clear and precise cross-reference to other media containing the information given to the consumer prior to the conclusion of the agreement. This ensures that the consumer is genuinely apprised of all his rights and obligations.</w:t>
      </w:r>
    </w:p>
    <w:p w14:paraId="1C7A57AB" w14:textId="77777777" w:rsidR="001D44DA" w:rsidRPr="001D44DA" w:rsidRDefault="001D44DA" w:rsidP="001D44DA">
      <w:pPr>
        <w:rPr>
          <w:rFonts w:ascii="Times New Roman" w:hAnsi="Times New Roman" w:cs="Times New Roman"/>
        </w:rPr>
      </w:pPr>
    </w:p>
    <w:p w14:paraId="1C820647"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10(2)(h)(i), 22(1), 23</w:t>
      </w:r>
    </w:p>
    <w:p w14:paraId="4285E678" w14:textId="43378C63" w:rsidR="001D44DA" w:rsidRPr="00321595" w:rsidRDefault="001D44DA" w:rsidP="001D44DA">
      <w:pPr>
        <w:rPr>
          <w:rFonts w:ascii="Times New Roman" w:hAnsi="Times New Roman" w:cs="Times New Roman"/>
        </w:rPr>
      </w:pPr>
      <w:r w:rsidRPr="001D44DA">
        <w:rPr>
          <w:rFonts w:ascii="Times New Roman" w:hAnsi="Times New Roman" w:cs="Times New Roman"/>
        </w:rPr>
        <w:t>Regarding Article 10(2)(h) of Directive 2008/48, the CJEU clarified that the information required by this provision, specifically the "frequency of payments," must be individually tailored to show the terms of the specific agreement in question. The Court held that it is not sufficient for the agreement to contain general reference to objectively ascertainable criteria from which the information can be ascertained. Furthermore, the Court held that Article 23 of Directive 2008/48 does not preclude a Member State from providing, under national law, that where a credit agreement does not include all the information required under Article 10(2) of the directive, the agreement is to be deemed interest-free and free of charges. However, the Court emphasized that any penalties laid down by a Member State must be effective, proportionate, and dissuasive, in accordance with recital 47 of the directive and the case-law of the Court.</w:t>
      </w:r>
    </w:p>
    <w:p w14:paraId="4D6C6CAA" w14:textId="77777777" w:rsidR="001D44DA" w:rsidRDefault="001D44DA" w:rsidP="00321595">
      <w:pPr>
        <w:rPr>
          <w:rFonts w:ascii="Times New Roman" w:hAnsi="Times New Roman" w:cs="Times New Roman"/>
        </w:rPr>
      </w:pPr>
    </w:p>
    <w:p w14:paraId="3E840F10" w14:textId="45118D74" w:rsidR="00321595" w:rsidRDefault="00321595" w:rsidP="00321595">
      <w:pPr>
        <w:rPr>
          <w:rFonts w:ascii="Times New Roman" w:hAnsi="Times New Roman" w:cs="Times New Roman"/>
        </w:rPr>
      </w:pPr>
      <w:r>
        <w:rPr>
          <w:rFonts w:ascii="Times New Roman" w:hAnsi="Times New Roman" w:cs="Times New Roman"/>
        </w:rPr>
        <w:t>LLM (</w:t>
      </w:r>
      <w:r w:rsidR="005D056E">
        <w:rPr>
          <w:rFonts w:ascii="Times New Roman" w:hAnsi="Times New Roman" w:cs="Times New Roman"/>
        </w:rPr>
        <w:t>Granite</w:t>
      </w:r>
      <w:r>
        <w:rPr>
          <w:rFonts w:ascii="Times New Roman" w:hAnsi="Times New Roman" w:cs="Times New Roman"/>
        </w:rPr>
        <w:t>) 2</w:t>
      </w:r>
      <w:r>
        <w:rPr>
          <w:rFonts w:ascii="Times New Roman" w:hAnsi="Times New Roman" w:cs="Times New Roman"/>
        </w:rPr>
        <w:br/>
      </w:r>
    </w:p>
    <w:p w14:paraId="06DFE048"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3(m), 10(1)(2)</w:t>
      </w:r>
    </w:p>
    <w:p w14:paraId="55ABEEB7"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 xml:space="preserve">The Court of Justice of the European Union (CJEU) interpreted Articles 3(m), 10(1)(2) of Directive 2008/48 in the context of national legislation requiring all information specified in Article 10(2)(a) to (v) to be contained in a single signed document. The Court held that such national legislation or practice does not contravene the directive, provided that the credit agreement, as a whole, complies with the requirement to be drawn up on "another durable </w:t>
      </w:r>
      <w:r w:rsidRPr="001D44DA">
        <w:rPr>
          <w:rFonts w:ascii="Times New Roman" w:hAnsi="Times New Roman" w:cs="Times New Roman"/>
        </w:rPr>
        <w:lastRenderedPageBreak/>
        <w:t>medium" within the meaning of Article 10(1). The Court emphasized that while all the information listed in Article 10(2) must be set out on paper or another durable medium and incorporated into the credit agreement, it is not necessary for all this information to be included in a single document. However, the credit agreement must contain a clear and precise cross-reference to other media containing the information given to the consumer prior to the conclusion of the agreement. This ensures that the consumer is genuinely apprised of all his rights and obligations.</w:t>
      </w:r>
    </w:p>
    <w:p w14:paraId="3FF1C40A" w14:textId="77777777" w:rsidR="001D44DA" w:rsidRPr="001D44DA" w:rsidRDefault="001D44DA" w:rsidP="001D44DA">
      <w:pPr>
        <w:rPr>
          <w:rFonts w:ascii="Times New Roman" w:hAnsi="Times New Roman" w:cs="Times New Roman"/>
        </w:rPr>
      </w:pPr>
    </w:p>
    <w:p w14:paraId="38FA7A24"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10(2)(h)(i), 22(1), 23</w:t>
      </w:r>
    </w:p>
    <w:p w14:paraId="256AB2BA" w14:textId="77777777" w:rsidR="001D44DA" w:rsidRDefault="001D44DA" w:rsidP="001D44DA">
      <w:pPr>
        <w:rPr>
          <w:rFonts w:ascii="Times New Roman" w:hAnsi="Times New Roman" w:cs="Times New Roman"/>
        </w:rPr>
      </w:pPr>
      <w:r w:rsidRPr="001D44DA">
        <w:rPr>
          <w:rFonts w:ascii="Times New Roman" w:hAnsi="Times New Roman" w:cs="Times New Roman"/>
        </w:rPr>
        <w:t>Regarding Article 10(2)(h) of Directive 2008/48, the CJEU clarified that the information required by this provision, specifically the "frequency of payments," must be individually tailored to show the terms of the specific agreement in question. The Court held that it is not sufficient for the agreement to contain general reference to objectively ascertainable criteria from which the information can be ascertained. Furthermore, the Court held that Article 23 of Directive 2008/48 does not preclude a Member State from providing, under national law, that where a credit agreement does not include all the information required under Article 10(2) of the directive, the agreement is to be deemed interest-free and free of charges. However, the Court emphasized that any penalties laid down by a Member State must be effective, proportionate, and dissuasive, in accordance with recital 47 of the directive and the case-law of the Court.</w:t>
      </w:r>
    </w:p>
    <w:p w14:paraId="6807921B" w14:textId="54503E16" w:rsidR="00321595" w:rsidRDefault="00321595" w:rsidP="001D44DA">
      <w:pPr>
        <w:rPr>
          <w:rFonts w:ascii="Times New Roman" w:hAnsi="Times New Roman" w:cs="Times New Roman"/>
        </w:rPr>
      </w:pPr>
      <w:r>
        <w:rPr>
          <w:rFonts w:ascii="Times New Roman" w:hAnsi="Times New Roman" w:cs="Times New Roman"/>
        </w:rPr>
        <w:br/>
        <w:t>LLM (</w:t>
      </w:r>
      <w:r w:rsidR="005D056E">
        <w:rPr>
          <w:rFonts w:ascii="Times New Roman" w:hAnsi="Times New Roman" w:cs="Times New Roman"/>
        </w:rPr>
        <w:t>Granite</w:t>
      </w:r>
      <w:r>
        <w:rPr>
          <w:rFonts w:ascii="Times New Roman" w:hAnsi="Times New Roman" w:cs="Times New Roman"/>
        </w:rPr>
        <w:t>) 3</w:t>
      </w:r>
      <w:r>
        <w:rPr>
          <w:rFonts w:ascii="Times New Roman" w:hAnsi="Times New Roman" w:cs="Times New Roman"/>
        </w:rPr>
        <w:br/>
      </w:r>
    </w:p>
    <w:p w14:paraId="0D23C6DD"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3(m), 10(1)(2)</w:t>
      </w:r>
    </w:p>
    <w:p w14:paraId="3090CB60"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The Court of Justice of the European Union (CJEU) interpreted Articles 3(m), 10(1)(2) of Directive 2008/48 in the context of national legislation requiring all information specified in Article 10(2)(a) to (v) to be contained in a single signed document. The Court held that such national legislation or practice does not contravene the directive, provided that the credit agreement, as a whole, complies with the requirement to be drawn up on "another durable medium" within the meaning of Article 10(1). The Court emphasized that while all the information listed in Article 10(2) must be set out on paper or another durable medium and incorporated into the credit agreement, it is not necessary for all this information to be included in a single document. However, the credit agreement must contain a clear and precise cross-reference to other media containing the information given to the consumer prior to the conclusion of the agreement. This ensures that the consumer is genuinely apprised of all his rights and obligations.</w:t>
      </w:r>
    </w:p>
    <w:p w14:paraId="3DD6F977" w14:textId="77777777" w:rsidR="001D44DA" w:rsidRPr="001D44DA" w:rsidRDefault="001D44DA" w:rsidP="001D44DA">
      <w:pPr>
        <w:rPr>
          <w:rFonts w:ascii="Times New Roman" w:hAnsi="Times New Roman" w:cs="Times New Roman"/>
        </w:rPr>
      </w:pPr>
    </w:p>
    <w:p w14:paraId="7B2D3107"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10(2)(h)(i), 22(1), 23</w:t>
      </w:r>
    </w:p>
    <w:p w14:paraId="786844DA" w14:textId="0FBEE1D7" w:rsidR="00321595" w:rsidRDefault="001D44DA" w:rsidP="001D44DA">
      <w:pPr>
        <w:rPr>
          <w:rFonts w:ascii="Times New Roman" w:hAnsi="Times New Roman" w:cs="Times New Roman"/>
        </w:rPr>
      </w:pPr>
      <w:r w:rsidRPr="001D44DA">
        <w:rPr>
          <w:rFonts w:ascii="Times New Roman" w:hAnsi="Times New Roman" w:cs="Times New Roman"/>
        </w:rPr>
        <w:lastRenderedPageBreak/>
        <w:t>Regarding Article 10(2)(h) of Directive 2008/48, the CJEU clarified that the information required by this provision, specifically the "frequency of payments," must be individually tailored to show the terms of the specific agreement in question. The Court held that it is not sufficient for the agreement to contain general reference to objectively ascertainable criteria from which the information can be ascertained. Furthermore, the Court held that Article 23 of Directive 2008/48 does not preclude a Member State from providing, under national law, that where a credit agreement does not include all the information required under Article 10(2) of the directive, the agreement is to be deemed interest-free and free of charges. However, the Court emphasized that any penalties laid down by a Member State must be effective, proportionate, and dissuasive, in accordance with recital 47 of the directive and the case-law of the Court.</w:t>
      </w:r>
    </w:p>
    <w:p w14:paraId="4FA812E6" w14:textId="77777777" w:rsidR="001D44DA" w:rsidRDefault="001D44DA" w:rsidP="001D44DA">
      <w:pPr>
        <w:rPr>
          <w:rFonts w:ascii="Times New Roman" w:hAnsi="Times New Roman" w:cs="Times New Roman"/>
        </w:rPr>
      </w:pPr>
    </w:p>
    <w:p w14:paraId="78401E75" w14:textId="69EDE9C7" w:rsidR="00321595" w:rsidRDefault="00321595" w:rsidP="00321595">
      <w:pPr>
        <w:rPr>
          <w:rFonts w:ascii="Times New Roman" w:hAnsi="Times New Roman" w:cs="Times New Roman"/>
        </w:rPr>
      </w:pPr>
      <w:r>
        <w:rPr>
          <w:rFonts w:ascii="Times New Roman" w:hAnsi="Times New Roman" w:cs="Times New Roman"/>
        </w:rPr>
        <w:t>LLM (</w:t>
      </w:r>
      <w:r w:rsidR="005D056E">
        <w:rPr>
          <w:rFonts w:ascii="Times New Roman" w:hAnsi="Times New Roman" w:cs="Times New Roman"/>
        </w:rPr>
        <w:t>Granite</w:t>
      </w:r>
      <w:r>
        <w:rPr>
          <w:rFonts w:ascii="Times New Roman" w:hAnsi="Times New Roman" w:cs="Times New Roman"/>
        </w:rPr>
        <w:t>) 4</w:t>
      </w:r>
      <w:r>
        <w:rPr>
          <w:rFonts w:ascii="Times New Roman" w:hAnsi="Times New Roman" w:cs="Times New Roman"/>
        </w:rPr>
        <w:br/>
      </w:r>
    </w:p>
    <w:p w14:paraId="3BDAFC12"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3(m), 10(1)(2)</w:t>
      </w:r>
    </w:p>
    <w:p w14:paraId="5B050C03"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The Court of Justice of the European Union (CJEU) interpreted Articles 3(m), 10(1)(2) of Directive 2008/48 in the context of national legislation requiring all information specified in Article 10(2)(a) to (v) to be contained in a single signed document. The Court held that such national legislation or practice does not contravene the directive, provided that the credit agreement, as a whole, complies with the requirement to be drawn up on "another durable medium" within the meaning of Article 10(1). The Court emphasized that while all the information listed in Article 10(2) must be set out on paper or another durable medium and incorporated into the credit agreement, it is not necessary for all this information to be included in a single document. However, the credit agreement must contain a clear and precise cross-reference to other media containing the information given to the consumer prior to the conclusion of the agreement. This ensures that the consumer is genuinely apprised of all his rights and obligations.</w:t>
      </w:r>
    </w:p>
    <w:p w14:paraId="6BAAC83F" w14:textId="77777777" w:rsidR="001D44DA" w:rsidRPr="001D44DA" w:rsidRDefault="001D44DA" w:rsidP="001D44DA">
      <w:pPr>
        <w:rPr>
          <w:rFonts w:ascii="Times New Roman" w:hAnsi="Times New Roman" w:cs="Times New Roman"/>
        </w:rPr>
      </w:pPr>
    </w:p>
    <w:p w14:paraId="11D10E14"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10(2)(h)(i), 22(1), 23</w:t>
      </w:r>
    </w:p>
    <w:p w14:paraId="1F593B39" w14:textId="1C15CC0A" w:rsidR="00321595" w:rsidRDefault="001D44DA" w:rsidP="001D44DA">
      <w:pPr>
        <w:rPr>
          <w:rFonts w:ascii="Times New Roman" w:hAnsi="Times New Roman" w:cs="Times New Roman"/>
        </w:rPr>
      </w:pPr>
      <w:r w:rsidRPr="001D44DA">
        <w:rPr>
          <w:rFonts w:ascii="Times New Roman" w:hAnsi="Times New Roman" w:cs="Times New Roman"/>
        </w:rPr>
        <w:t>Regarding Article 10(2)(h) of Directive 2008/48, the CJEU clarified that the information required by this provision, specifically the "frequency of payments," must be individually tailored to show the terms of the specific agreement in question. The Court held that it is not sufficient for the agreement to contain general reference to objectively ascertainable criteria from which the information can be ascertained. Furthermore, the Court held that Article 23 of Directive 2008/48 does not preclude a Member State from providing, under national law, that where a credit agreement does not include all the information required under Article 10(2) of the directive, the agreement is to be deemed interest-free and free of charges. However, the Court emphasized that any penalties laid down by a Member State must be effective, proportionate, and dissuasive, in accordance with recital 47 of the directive and the case-law of the Court.</w:t>
      </w:r>
    </w:p>
    <w:p w14:paraId="67FFA33E" w14:textId="77777777" w:rsidR="001D44DA" w:rsidRDefault="001D44DA" w:rsidP="001D44DA">
      <w:pPr>
        <w:rPr>
          <w:rFonts w:ascii="Times New Roman" w:hAnsi="Times New Roman" w:cs="Times New Roman"/>
        </w:rPr>
      </w:pPr>
    </w:p>
    <w:p w14:paraId="7277CB59" w14:textId="7AC26ACA" w:rsidR="00321595" w:rsidRDefault="00321595" w:rsidP="00321595">
      <w:pPr>
        <w:rPr>
          <w:rFonts w:ascii="Times New Roman" w:hAnsi="Times New Roman" w:cs="Times New Roman"/>
        </w:rPr>
      </w:pPr>
      <w:r>
        <w:rPr>
          <w:rFonts w:ascii="Times New Roman" w:hAnsi="Times New Roman" w:cs="Times New Roman"/>
        </w:rPr>
        <w:t>LLM (</w:t>
      </w:r>
      <w:r w:rsidR="005D056E">
        <w:rPr>
          <w:rFonts w:ascii="Times New Roman" w:hAnsi="Times New Roman" w:cs="Times New Roman"/>
        </w:rPr>
        <w:t>Granite</w:t>
      </w:r>
      <w:r>
        <w:rPr>
          <w:rFonts w:ascii="Times New Roman" w:hAnsi="Times New Roman" w:cs="Times New Roman"/>
        </w:rPr>
        <w:t>) 5</w:t>
      </w:r>
      <w:r>
        <w:rPr>
          <w:rFonts w:ascii="Times New Roman" w:hAnsi="Times New Roman" w:cs="Times New Roman"/>
        </w:rPr>
        <w:br/>
      </w:r>
    </w:p>
    <w:p w14:paraId="2F983DE0"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3(m), 10(1)(2)</w:t>
      </w:r>
    </w:p>
    <w:p w14:paraId="7E8A8380"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The Court of Justice of the European Union (CJEU) interpreted Articles 3(m), 10(1)(2) of Directive 2008/48 as requiring that all the information specified in Article 10(2)(a) to (v) be contained in a single document that fulfills the requirement of "written form" in accordance with the law of the relevant Member State. This document must be signed by the parties to the agreement to have full legal effect. The Court held that a separate document containing some of the required information, even if referred to in the written agreement, does not suffice to meet the directive's requirements.</w:t>
      </w:r>
    </w:p>
    <w:p w14:paraId="22E3D07E" w14:textId="77777777" w:rsidR="001D44DA" w:rsidRPr="001D44DA" w:rsidRDefault="001D44DA" w:rsidP="001D44DA">
      <w:pPr>
        <w:rPr>
          <w:rFonts w:ascii="Times New Roman" w:hAnsi="Times New Roman" w:cs="Times New Roman"/>
        </w:rPr>
      </w:pPr>
    </w:p>
    <w:p w14:paraId="18C24984"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The Court emphasized that the information must be set out on paper or another durable medium and incorporated into the credit agreement. While all the information listed in Article 10(2) need not necessarily be included in a single document, a clear and precise cross-reference to other media containing the information given to the consumer prior to the conclusion of the agreement is necessary. This ensures the consumer can be genuinely apprised of all their rights and obligations.</w:t>
      </w:r>
    </w:p>
    <w:p w14:paraId="708B1B53" w14:textId="77777777" w:rsidR="001D44DA" w:rsidRPr="001D44DA" w:rsidRDefault="001D44DA" w:rsidP="001D44DA">
      <w:pPr>
        <w:rPr>
          <w:rFonts w:ascii="Times New Roman" w:hAnsi="Times New Roman" w:cs="Times New Roman"/>
        </w:rPr>
      </w:pPr>
    </w:p>
    <w:p w14:paraId="23A43F35"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Articles 10(2)(h)(i), 22(1), 23</w:t>
      </w:r>
    </w:p>
    <w:p w14:paraId="6F199810"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Regarding Article 10(2)(h) of Directive 2008/48, the CJEU held that the information required, specifically the "frequency of payments," must be individually tailored to show the terms of the specific agreement in question. Stating the precise dates (day, month, year) on which the individual instalments are due is necessary, rather than merely providing general reference to objectively ascertainable criteria.</w:t>
      </w:r>
    </w:p>
    <w:p w14:paraId="43EB866A" w14:textId="77777777" w:rsidR="001D44DA" w:rsidRPr="001D44DA" w:rsidRDefault="001D44DA" w:rsidP="001D44DA">
      <w:pPr>
        <w:rPr>
          <w:rFonts w:ascii="Times New Roman" w:hAnsi="Times New Roman" w:cs="Times New Roman"/>
        </w:rPr>
      </w:pPr>
    </w:p>
    <w:p w14:paraId="3D9059DD" w14:textId="77777777" w:rsidR="001D44DA" w:rsidRPr="001D44DA" w:rsidRDefault="001D44DA" w:rsidP="001D44DA">
      <w:pPr>
        <w:rPr>
          <w:rFonts w:ascii="Times New Roman" w:hAnsi="Times New Roman" w:cs="Times New Roman"/>
        </w:rPr>
      </w:pPr>
      <w:r w:rsidRPr="001D44DA">
        <w:rPr>
          <w:rFonts w:ascii="Times New Roman" w:hAnsi="Times New Roman" w:cs="Times New Roman"/>
        </w:rPr>
        <w:t>The Court further clarified that Article 23 of Directive 2008/48 does not preclude a Member State from providing, under national law, that where a credit agreement does not include all the information required under Article 10(2) of the directive, the agreement is to be deemed interest-free and free of charges. However, any penalties imposed must be effective, proportionate, and dissuasive, ensuring a genuinely deterrent effect while respecting the general principle of proportionality.</w:t>
      </w:r>
    </w:p>
    <w:p w14:paraId="65D44674" w14:textId="77777777" w:rsidR="001D44DA" w:rsidRPr="001D44DA" w:rsidRDefault="001D44DA" w:rsidP="001D44DA">
      <w:pPr>
        <w:rPr>
          <w:rFonts w:ascii="Times New Roman" w:hAnsi="Times New Roman" w:cs="Times New Roman"/>
        </w:rPr>
      </w:pPr>
    </w:p>
    <w:p w14:paraId="3C46A80D" w14:textId="1B9FC1CF" w:rsidR="001D44DA" w:rsidRDefault="001D44DA" w:rsidP="001D44DA">
      <w:pPr>
        <w:rPr>
          <w:rFonts w:ascii="Times New Roman" w:hAnsi="Times New Roman" w:cs="Times New Roman"/>
        </w:rPr>
      </w:pPr>
      <w:r w:rsidRPr="001D44DA">
        <w:rPr>
          <w:rFonts w:ascii="Times New Roman" w:hAnsi="Times New Roman" w:cs="Times New Roman"/>
        </w:rPr>
        <w:t>In summary, the CJEU's interpretation of these articles underscores the importance of comprehensive and precise disclosure of credit terms in a single, signed document to protect consumers and ensure compliance with the directive's objectives.</w:t>
      </w:r>
    </w:p>
    <w:p w14:paraId="7C1F9B6A" w14:textId="77777777" w:rsidR="005D056E" w:rsidRDefault="005D056E" w:rsidP="00321595">
      <w:pPr>
        <w:rPr>
          <w:rFonts w:ascii="Times New Roman" w:hAnsi="Times New Roman" w:cs="Times New Roman"/>
        </w:rPr>
      </w:pPr>
    </w:p>
    <w:p w14:paraId="11A616E8" w14:textId="77777777" w:rsidR="005D056E" w:rsidRPr="00321595" w:rsidRDefault="005D056E" w:rsidP="005D056E">
      <w:pPr>
        <w:rPr>
          <w:rFonts w:ascii="Times New Roman" w:hAnsi="Times New Roman" w:cs="Times New Roman"/>
          <w:lang w:val="en-US"/>
        </w:rPr>
      </w:pPr>
    </w:p>
    <w:sectPr w:rsidR="005D056E" w:rsidRPr="00321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595"/>
    <w:rsid w:val="001D44DA"/>
    <w:rsid w:val="002531D8"/>
    <w:rsid w:val="00321595"/>
    <w:rsid w:val="00433CAA"/>
    <w:rsid w:val="00476E83"/>
    <w:rsid w:val="005D056E"/>
    <w:rsid w:val="00BA35E3"/>
    <w:rsid w:val="00DA3D22"/>
    <w:rsid w:val="00E4491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55FC885"/>
  <w15:chartTrackingRefBased/>
  <w15:docId w15:val="{E0CD4FBC-5503-3449-8A98-489124A1F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1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1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595"/>
    <w:rPr>
      <w:rFonts w:eastAsiaTheme="majorEastAsia" w:cstheme="majorBidi"/>
      <w:color w:val="272727" w:themeColor="text1" w:themeTint="D8"/>
    </w:rPr>
  </w:style>
  <w:style w:type="paragraph" w:styleId="Title">
    <w:name w:val="Title"/>
    <w:basedOn w:val="Normal"/>
    <w:next w:val="Normal"/>
    <w:link w:val="TitleChar"/>
    <w:uiPriority w:val="10"/>
    <w:qFormat/>
    <w:rsid w:val="00321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595"/>
    <w:pPr>
      <w:spacing w:before="160"/>
      <w:jc w:val="center"/>
    </w:pPr>
    <w:rPr>
      <w:i/>
      <w:iCs/>
      <w:color w:val="404040" w:themeColor="text1" w:themeTint="BF"/>
    </w:rPr>
  </w:style>
  <w:style w:type="character" w:customStyle="1" w:styleId="QuoteChar">
    <w:name w:val="Quote Char"/>
    <w:basedOn w:val="DefaultParagraphFont"/>
    <w:link w:val="Quote"/>
    <w:uiPriority w:val="29"/>
    <w:rsid w:val="00321595"/>
    <w:rPr>
      <w:i/>
      <w:iCs/>
      <w:color w:val="404040" w:themeColor="text1" w:themeTint="BF"/>
    </w:rPr>
  </w:style>
  <w:style w:type="paragraph" w:styleId="ListParagraph">
    <w:name w:val="List Paragraph"/>
    <w:basedOn w:val="Normal"/>
    <w:uiPriority w:val="34"/>
    <w:qFormat/>
    <w:rsid w:val="00321595"/>
    <w:pPr>
      <w:ind w:left="720"/>
      <w:contextualSpacing/>
    </w:pPr>
  </w:style>
  <w:style w:type="character" w:styleId="IntenseEmphasis">
    <w:name w:val="Intense Emphasis"/>
    <w:basedOn w:val="DefaultParagraphFont"/>
    <w:uiPriority w:val="21"/>
    <w:qFormat/>
    <w:rsid w:val="00321595"/>
    <w:rPr>
      <w:i/>
      <w:iCs/>
      <w:color w:val="0F4761" w:themeColor="accent1" w:themeShade="BF"/>
    </w:rPr>
  </w:style>
  <w:style w:type="paragraph" w:styleId="IntenseQuote">
    <w:name w:val="Intense Quote"/>
    <w:basedOn w:val="Normal"/>
    <w:next w:val="Normal"/>
    <w:link w:val="IntenseQuoteChar"/>
    <w:uiPriority w:val="30"/>
    <w:qFormat/>
    <w:rsid w:val="00321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595"/>
    <w:rPr>
      <w:i/>
      <w:iCs/>
      <w:color w:val="0F4761" w:themeColor="accent1" w:themeShade="BF"/>
    </w:rPr>
  </w:style>
  <w:style w:type="character" w:styleId="IntenseReference">
    <w:name w:val="Intense Reference"/>
    <w:basedOn w:val="DefaultParagraphFont"/>
    <w:uiPriority w:val="32"/>
    <w:qFormat/>
    <w:rsid w:val="00321595"/>
    <w:rPr>
      <w:b/>
      <w:bCs/>
      <w:smallCaps/>
      <w:color w:val="0F4761" w:themeColor="accent1" w:themeShade="BF"/>
      <w:spacing w:val="5"/>
    </w:rPr>
  </w:style>
  <w:style w:type="paragraph" w:styleId="NormalWeb">
    <w:name w:val="Normal (Web)"/>
    <w:basedOn w:val="Normal"/>
    <w:uiPriority w:val="99"/>
    <w:unhideWhenUsed/>
    <w:rsid w:val="005D05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A3D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18</Pages>
  <Words>8391</Words>
  <Characters>42211</Characters>
  <Application>Microsoft Office Word</Application>
  <DocSecurity>0</DocSecurity>
  <Lines>861</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Raps, Carlo (Stud. FdR)</dc:creator>
  <cp:keywords/>
  <dc:description/>
  <cp:lastModifiedBy>Raps, Carlo (Stud. FdR)</cp:lastModifiedBy>
  <cp:revision>2</cp:revision>
  <dcterms:created xsi:type="dcterms:W3CDTF">2026-04-13T09:03:00Z</dcterms:created>
  <dcterms:modified xsi:type="dcterms:W3CDTF">2026-04-29T04:47:00Z</dcterms:modified>
</cp:coreProperties>
</file>