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F48F" w14:textId="5EC60D36" w:rsidR="00CE3A07" w:rsidRPr="009530EC" w:rsidRDefault="002A6335">
      <w:pPr>
        <w:rPr>
          <w:rFonts w:ascii="Times New Roman" w:hAnsi="Times New Roman" w:cs="Times New Roman"/>
          <w:lang w:val="en-US"/>
        </w:rPr>
      </w:pPr>
      <w:r w:rsidRPr="009530EC">
        <w:rPr>
          <w:rFonts w:ascii="Times New Roman" w:hAnsi="Times New Roman" w:cs="Times New Roman"/>
          <w:lang w:val="en-US"/>
        </w:rPr>
        <w:t>GPT 1</w:t>
      </w:r>
    </w:p>
    <w:p w14:paraId="5B7F0D2F"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b/>
          <w:bCs/>
          <w:lang w:val="en-GB"/>
        </w:rPr>
        <w:t>Article 3(m), Article 10(1) and (2)</w:t>
      </w:r>
    </w:p>
    <w:p w14:paraId="189CA2CC" w14:textId="081E4AB6"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Directive 2008/48 establishes, in the field of consumer credit, a regime of full and mandatory harmonisation in respect of the matters which it harmonises, with the aim of ensuring a high and equivalent level of consumer protection and the proper functioning of the internal market. Within that scheme, Article 10 is intended to guarantee that the consumer is placed, at the time of conclusion of the agreement, in a position to know, in a clear and concise manner, all the rights and obligations arising under the credit relationship. The Court accordingly interpreted Article 10(1) and (2), read together with Article 3(m), by reference to that protective purpose and to the functional requirements of a “durable medium”.</w:t>
      </w:r>
      <w:r>
        <w:rPr>
          <w:rFonts w:ascii="Times New Roman" w:hAnsi="Times New Roman" w:cs="Times New Roman"/>
          <w:lang w:val="en-GB"/>
        </w:rPr>
        <w:t xml:space="preserve"> </w:t>
      </w:r>
      <w:r w:rsidRPr="00C425BB">
        <w:rPr>
          <w:rFonts w:ascii="Times New Roman" w:hAnsi="Times New Roman" w:cs="Times New Roman"/>
          <w:lang w:val="en-GB"/>
        </w:rPr>
        <w:t>As regards the form of the agreement, the Court held that Directive 2008/48 does not require that all contractual information listed in Article 10(2) be contained in a single document. However, all such information must be set out on paper or on another durable medium and must form part of the credit agreement. Where the information is contained in separate documents, the agreement must contain a clear and precise cross-reference enabling the consumer genuinely to acquaint himself, before being bound, with the entirety of the contractual terms. The decisive consideration is not documentary unity, but the effective accessibility, stability and reproducibility of the information communicated to the consumer.</w:t>
      </w:r>
      <w:r>
        <w:rPr>
          <w:rFonts w:ascii="Times New Roman" w:hAnsi="Times New Roman" w:cs="Times New Roman"/>
          <w:lang w:val="en-GB"/>
        </w:rPr>
        <w:t xml:space="preserve"> </w:t>
      </w:r>
      <w:r w:rsidRPr="00C425BB">
        <w:rPr>
          <w:rFonts w:ascii="Times New Roman" w:hAnsi="Times New Roman" w:cs="Times New Roman"/>
          <w:lang w:val="en-GB"/>
        </w:rPr>
        <w:t xml:space="preserve">The Court further gave an autonomous Union-law meaning to the concepts of “paper” and “durable medium”. Referring to Article 3(m), it emphasised that a durable medium is any instrument enabling the consumer to store information addressed personally to him, to access it for a period adequate to its purpose, and to reproduce it unchanged. The notion therefore focuses on the consumer’s practical ability to retain and rely upon the information, rather than on any formal requirements derived from national law. By contrast, the question whether a paper agreement must be signed is not governed exhaustively by the directive. Since Article 10(1) expressly preserves national rules concerning the validity of the conclusion of credit agreements, the Court held that Directive 2008/48 does not preclude national legislation requiring that a credit agreement drawn up on paper be signed by the parties as a condition of validity. Nor does EU law preclude such national legislation from extending that signature requirement to all items of information which, under Article 10(2), must be included in the agreement. The legal test applied by the Court was whether the matter fell within the harmonised field of mandatory contractual information, or instead within the sphere of national rules on contractual validity preserved by the directive. Signature requirements belong to the latter category, provided they remain compatible with EU law. </w:t>
      </w:r>
    </w:p>
    <w:p w14:paraId="4C1E1BB0"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b/>
          <w:bCs/>
          <w:lang w:val="en-GB"/>
        </w:rPr>
        <w:t>Articles 10(2)(h) and (i), 22(1), and 23</w:t>
      </w:r>
    </w:p>
    <w:p w14:paraId="4092BEFC" w14:textId="33F84D06"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 xml:space="preserve">In interpreting Article 10(2)(h), the Court held that the agreement need not state the exact calendar date of every instalment. It is sufficient that the terms of the agreement enable the consumer to ascertain, without difficulty and with certainty, the dates on which payments fall due. The Court thus adopted a functional test centred on legal certainty and intelligibility for the consumer, rather than a formalistic requirement of exhaustive date-by-date specification. The purpose of Article 10(2)(h) is to ensure that the consumer knows when payment is due; </w:t>
      </w:r>
      <w:r w:rsidRPr="00C425BB">
        <w:rPr>
          <w:rFonts w:ascii="Times New Roman" w:hAnsi="Times New Roman" w:cs="Times New Roman"/>
          <w:lang w:val="en-GB"/>
        </w:rPr>
        <w:lastRenderedPageBreak/>
        <w:t>that purpose is satisfied where the agreement provides objective criteria allowing those dates to be determined reliably. As to Article 10(2)(h) and (i), the Court held that a fixed-term credit agreement involving amortisation of capital by consecutive instalments need not itself contain an amortisation table or specify the fraction of each instalment allocated to capital repayment, interest and charges. Article 10(2)(i), read together with Article 10(3), confers instead a right on the consumer to obtain such a table, on request and free of charge, at any time during the contract. Since the directive harmonises exhaustively the information that must imperatively appear in the agreement, Article 22(1) precludes Member States from imposing, by national law, an additional obligation to include that breakdown in the contract itself. The Court accordingly distinguished between mandatory information to be included ab initio and supplementary information to be supplied upon request. Finally, with respect to Article 23, the Court held that national legislation may provide that a credit agreement lacking information required by Article 10(2) is to be treated as interest-free and free of charges, provided that the omitted information is of such importance that its absence may compromise the consumer’s ability to assess the extent of his liability. The Court’s proportionality review turned on the seriousness of the infringement and the significance of the omitted item for informed consumer consent. Such a penalty is compatible with Article 23 where it is effective, dissuasive and proportionate in relation to omissions concerning essential matters, such as the annual percentage rate of charge or repayment information. It would, however, be disproportionate if applied indiscriminately to omissions of information incapable, by its nature, of affecting the consumer’s assessment of liability.</w:t>
      </w:r>
    </w:p>
    <w:p w14:paraId="61CCD9D9" w14:textId="77777777" w:rsidR="002A6335" w:rsidRPr="00C425BB" w:rsidRDefault="002A6335">
      <w:pPr>
        <w:rPr>
          <w:rFonts w:ascii="Times New Roman" w:hAnsi="Times New Roman" w:cs="Times New Roman"/>
          <w:lang w:val="en-GB"/>
        </w:rPr>
      </w:pPr>
    </w:p>
    <w:p w14:paraId="23F19B8A" w14:textId="2292D85F" w:rsidR="002A6335" w:rsidRPr="009530EC" w:rsidRDefault="002A6335">
      <w:pPr>
        <w:rPr>
          <w:rFonts w:ascii="Times New Roman" w:hAnsi="Times New Roman" w:cs="Times New Roman"/>
          <w:lang w:val="en-US"/>
        </w:rPr>
      </w:pPr>
      <w:r w:rsidRPr="009530EC">
        <w:rPr>
          <w:rFonts w:ascii="Times New Roman" w:hAnsi="Times New Roman" w:cs="Times New Roman"/>
          <w:lang w:val="en-US"/>
        </w:rPr>
        <w:t>GPT 2</w:t>
      </w:r>
    </w:p>
    <w:p w14:paraId="2B45265E" w14:textId="77777777" w:rsidR="00C425BB" w:rsidRPr="00C425BB" w:rsidRDefault="00C425BB" w:rsidP="00C425BB">
      <w:pPr>
        <w:rPr>
          <w:rFonts w:ascii="Times New Roman" w:hAnsi="Times New Roman" w:cs="Times New Roman"/>
          <w:b/>
          <w:bCs/>
          <w:lang w:val="en-GB"/>
        </w:rPr>
      </w:pPr>
      <w:r w:rsidRPr="00C425BB">
        <w:rPr>
          <w:rFonts w:ascii="Times New Roman" w:hAnsi="Times New Roman" w:cs="Times New Roman"/>
          <w:b/>
          <w:bCs/>
          <w:lang w:val="en-GB"/>
        </w:rPr>
        <w:t>Articles 3(m), 10(1) and (2)</w:t>
      </w:r>
    </w:p>
    <w:p w14:paraId="751412FF" w14:textId="63730FCE"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 xml:space="preserve">The Court held that Article 10(1) and (2) of Directive 2008/48, read together with Article 3(m), does not require that every item of contractual information be contained in a single physical instrument. The decisive requirement is not documentary unity, but that all information prescribed by Article 10(2) be set out on paper or on another durable medium and form part of the credit agreement in such a way that the consumer can know, clearly and concisely, the full extent of his rights and obligations. The Court thus adopted a functional reading of the notion of “durable medium”, emphasising that the medium must permit the consumer to store information addressed personally to him, access it for an adequate period, and reproduce it unchanged. That requirement serves the Directive’s consumer-protection objective, namely to enable an informed contractual decision within a regime of full harmonisation in core areas. On that basis, the Court considered that a credit agreement may validly comprise several documents, provided that the agreement itself contains a clear and precise cross-reference to the other paper documents or durable media containing the mandatory information, and provided that those materials were actually supplied to the consumer before conclusion so that he may genuinely acquaint himself with the contractual terms. The Court’s test is therefore whether the structure of the contractual documentation enables effective consumer awareness, not whether the terms are gathered in one signed </w:t>
      </w:r>
      <w:r w:rsidRPr="00C425BB">
        <w:rPr>
          <w:rFonts w:ascii="Times New Roman" w:hAnsi="Times New Roman" w:cs="Times New Roman"/>
          <w:lang w:val="en-GB"/>
        </w:rPr>
        <w:lastRenderedPageBreak/>
        <w:t xml:space="preserve">instrument. The Court further held that Article 10(1) does not itself require a paper agreement to bear signatures. The words “on paper” and “on another durable medium” have an autonomous EU-law meaning and concern the medium of expression, not the formal validity requirements attaching to the contract under national law. Since the second subparagraph of Article 10(1) expressly preserves national rules governing the validity of the conclusion of credit agreements, a Member State may require that a paper agreement be signed by the parties as a condition of validity. Equally, EU law does not preclude national legislation extending that signature requirement to all particulars that must be included under Article 10(2), since those particulars necessarily form part of the agreement. </w:t>
      </w:r>
    </w:p>
    <w:p w14:paraId="1E29B441" w14:textId="77777777" w:rsidR="00C425BB" w:rsidRPr="00C425BB" w:rsidRDefault="00C425BB" w:rsidP="00C425BB">
      <w:pPr>
        <w:rPr>
          <w:rFonts w:ascii="Times New Roman" w:hAnsi="Times New Roman" w:cs="Times New Roman"/>
          <w:b/>
          <w:bCs/>
          <w:lang w:val="en-GB"/>
        </w:rPr>
      </w:pPr>
      <w:r w:rsidRPr="00C425BB">
        <w:rPr>
          <w:rFonts w:ascii="Times New Roman" w:hAnsi="Times New Roman" w:cs="Times New Roman"/>
          <w:b/>
          <w:bCs/>
          <w:lang w:val="en-GB"/>
        </w:rPr>
        <w:t>Articles 10(2)(h) and (i), 22(1), and 23</w:t>
      </w:r>
    </w:p>
    <w:p w14:paraId="2A479CF1" w14:textId="3137FFFF" w:rsidR="002A6335" w:rsidRPr="00C425BB" w:rsidRDefault="00C425BB">
      <w:pPr>
        <w:rPr>
          <w:rFonts w:ascii="Times New Roman" w:hAnsi="Times New Roman" w:cs="Times New Roman"/>
          <w:lang w:val="en-GB"/>
        </w:rPr>
      </w:pPr>
      <w:r w:rsidRPr="00C425BB">
        <w:rPr>
          <w:rFonts w:ascii="Times New Roman" w:hAnsi="Times New Roman" w:cs="Times New Roman"/>
          <w:lang w:val="en-GB"/>
        </w:rPr>
        <w:t>As regards Article 10(2)(h), the Court held that the Directive does not require each instalment date to be stated by a specific calendar date. The applicable legal test is whether the contractual terms allow the consumer to ascertain, without difficulty and with certainty, the due dates of the payments. Where the agreement refers to objective and readily ascertainable criteria enabling the consumer to identify those dates, the purpose of Article 10(2)(h) is satisfied. The Court thus privileged substantive intelligibility over excessive formalism. With respect to Article 10(2)(h) and (i), the Court drew a strict distinction between information that must appear in the agreement at the moment of conclusion and information which the consumer may obtain later upon request. A fixed-term credit agreement providing for amortisation of capital in consecutive instalments need not contain an amortisation table nor specify, for each instalment, the precise allocation between capital repayment, interest and other charges. Article 10(2)(i), read together with Article 10(3), confers on the consumer a right to obtain such a table free of charge at any time during the life of the agreement; it does not transform that table into mandatory initial contractual content. Because Article 10(2) fully harmonises the information to be included in the agreement, Article 22(1) precludes Member States from imposing an additional obligation to include such an amortisation table in the contract itself. Article 10(2)(u) cannot be relied upon to justify such national supplementation, since it concerns terms agreed by the parties, not Member-State additions to harmonised information duties.</w:t>
      </w:r>
      <w:r>
        <w:rPr>
          <w:rFonts w:ascii="Times New Roman" w:hAnsi="Times New Roman" w:cs="Times New Roman"/>
          <w:lang w:val="en-GB"/>
        </w:rPr>
        <w:t xml:space="preserve"> </w:t>
      </w:r>
      <w:r w:rsidRPr="00C425BB">
        <w:rPr>
          <w:rFonts w:ascii="Times New Roman" w:hAnsi="Times New Roman" w:cs="Times New Roman"/>
          <w:lang w:val="en-GB"/>
        </w:rPr>
        <w:t>Finally, in relation to Article 23, the Court held that a national penalty deeming the credit interest-free and free of charges is not, in principle, incompatible with the Directive, provided that it is applied only where the omitted information is of such importance that its absence may compromise the consumer’s ability to assess the extent of his liability. The Court reaffirmed that penalties must be effective, dissuasive and proportionate, and that proportionality depends on the seriousness of the infringement. Thus, forfeiture of interest and charges may be justified where the missing particulars concern vitally important information, such as the annual percentage rate of charge, the number and frequency of payments, or certain cost-related obligations. By contrast, the same penalty would be disproportionate if attached to the omission of particulars which, by their nature, cannot affect the consumer’s assessment of liability, such as the name and address of the competent supervisory authority</w:t>
      </w:r>
      <w:r>
        <w:rPr>
          <w:rFonts w:ascii="Times New Roman" w:hAnsi="Times New Roman" w:cs="Times New Roman"/>
          <w:lang w:val="en-GB"/>
        </w:rPr>
        <w:t>.</w:t>
      </w:r>
    </w:p>
    <w:p w14:paraId="679279FF" w14:textId="77777777" w:rsidR="009530EC" w:rsidRDefault="009530EC">
      <w:pPr>
        <w:rPr>
          <w:rFonts w:ascii="Times New Roman" w:hAnsi="Times New Roman" w:cs="Times New Roman"/>
          <w:lang w:val="en-GB"/>
        </w:rPr>
      </w:pPr>
    </w:p>
    <w:p w14:paraId="307738BB" w14:textId="795F1488" w:rsidR="002A6335" w:rsidRPr="00C425BB" w:rsidRDefault="002A6335">
      <w:pPr>
        <w:rPr>
          <w:rFonts w:ascii="Times New Roman" w:hAnsi="Times New Roman" w:cs="Times New Roman"/>
          <w:lang w:val="en-GB"/>
        </w:rPr>
      </w:pPr>
      <w:r w:rsidRPr="00C425BB">
        <w:rPr>
          <w:rFonts w:ascii="Times New Roman" w:hAnsi="Times New Roman" w:cs="Times New Roman"/>
          <w:lang w:val="en-GB"/>
        </w:rPr>
        <w:lastRenderedPageBreak/>
        <w:t>GPT 3</w:t>
      </w:r>
      <w:r w:rsidR="009530EC">
        <w:rPr>
          <w:rFonts w:ascii="Times New Roman" w:hAnsi="Times New Roman" w:cs="Times New Roman"/>
          <w:lang w:val="en-GB"/>
        </w:rPr>
        <w:t>*</w:t>
      </w:r>
    </w:p>
    <w:p w14:paraId="30F3F1F0" w14:textId="3EEE1974" w:rsidR="00C425BB" w:rsidRPr="00C425BB" w:rsidRDefault="00C425BB" w:rsidP="00C425BB">
      <w:pPr>
        <w:rPr>
          <w:rFonts w:ascii="Times New Roman" w:hAnsi="Times New Roman" w:cs="Times New Roman"/>
          <w:b/>
          <w:bCs/>
          <w:lang w:val="en-GB"/>
        </w:rPr>
      </w:pPr>
      <w:r w:rsidRPr="00C425BB">
        <w:rPr>
          <w:rFonts w:ascii="Times New Roman" w:hAnsi="Times New Roman" w:cs="Times New Roman"/>
          <w:b/>
          <w:bCs/>
          <w:lang w:val="en-GB"/>
        </w:rPr>
        <w:t>Articles 3(m), 10(1) and (2)</w:t>
      </w:r>
      <w:r w:rsidR="009530EC">
        <w:rPr>
          <w:rFonts w:ascii="Times New Roman" w:hAnsi="Times New Roman" w:cs="Times New Roman"/>
          <w:b/>
          <w:bCs/>
          <w:lang w:val="en-GB"/>
        </w:rPr>
        <w:t xml:space="preserve"> </w:t>
      </w:r>
    </w:p>
    <w:p w14:paraId="12986078" w14:textId="2A6304D2"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 xml:space="preserve">The Court held that Article 10(1) and (2) of Directive 2008/48, read together with Article 3(m), does not require all mandatory contractual information to appear in a single document. The decisive requirement is not </w:t>
      </w:r>
      <w:commentRangeStart w:id="0"/>
      <w:r w:rsidRPr="00C425BB">
        <w:rPr>
          <w:rFonts w:ascii="Times New Roman" w:hAnsi="Times New Roman" w:cs="Times New Roman"/>
          <w:lang w:val="en-GB"/>
        </w:rPr>
        <w:t>documentary unity</w:t>
      </w:r>
      <w:commentRangeEnd w:id="0"/>
      <w:r w:rsidR="003F1776" w:rsidRPr="00C425BB">
        <w:rPr>
          <w:rStyle w:val="CommentReference"/>
          <w:rFonts w:ascii="Times New Roman" w:hAnsi="Times New Roman" w:cs="Times New Roman"/>
          <w:sz w:val="24"/>
          <w:szCs w:val="24"/>
          <w:lang w:val="en-GB"/>
        </w:rPr>
        <w:commentReference w:id="0"/>
      </w:r>
      <w:r w:rsidRPr="00C425BB">
        <w:rPr>
          <w:rFonts w:ascii="Times New Roman" w:hAnsi="Times New Roman" w:cs="Times New Roman"/>
          <w:lang w:val="en-GB"/>
        </w:rPr>
        <w:t xml:space="preserve">, but that all information listed in Article 10(2) be set out on paper or on another durable medium and form part of the credit agreement. </w:t>
      </w:r>
      <w:commentRangeStart w:id="1"/>
      <w:r w:rsidRPr="00C425BB">
        <w:rPr>
          <w:rFonts w:ascii="Times New Roman" w:hAnsi="Times New Roman" w:cs="Times New Roman"/>
          <w:lang w:val="en-GB"/>
        </w:rPr>
        <w:t>The Court thus adopted a functional reading of the formal requirements, directed to consumer protection rather than to a rigid conception of contractual form</w:t>
      </w:r>
      <w:commentRangeEnd w:id="1"/>
      <w:r w:rsidR="002B7ADC" w:rsidRPr="00C425BB">
        <w:rPr>
          <w:rStyle w:val="CommentReference"/>
          <w:rFonts w:ascii="Times New Roman" w:hAnsi="Times New Roman" w:cs="Times New Roman"/>
          <w:sz w:val="24"/>
          <w:szCs w:val="24"/>
          <w:lang w:val="en-GB"/>
        </w:rPr>
        <w:commentReference w:id="1"/>
      </w:r>
      <w:r w:rsidRPr="00C425BB">
        <w:rPr>
          <w:rFonts w:ascii="Times New Roman" w:hAnsi="Times New Roman" w:cs="Times New Roman"/>
          <w:lang w:val="en-GB"/>
        </w:rPr>
        <w:t xml:space="preserve">. The purpose of Article 10 is to ensure that the consumer is apprised, clearly and concisely, of all rights and obligations under the agreement; that objective may be achieved by several documents, provided the agreement contains a clear and precise cross-reference </w:t>
      </w:r>
      <w:commentRangeStart w:id="2"/>
      <w:r w:rsidRPr="00C425BB">
        <w:rPr>
          <w:rFonts w:ascii="Times New Roman" w:hAnsi="Times New Roman" w:cs="Times New Roman"/>
          <w:lang w:val="en-GB"/>
        </w:rPr>
        <w:t xml:space="preserve">to the other paper </w:t>
      </w:r>
      <w:commentRangeEnd w:id="2"/>
      <w:r w:rsidR="002B7ADC" w:rsidRPr="00C425BB">
        <w:rPr>
          <w:rStyle w:val="CommentReference"/>
          <w:rFonts w:ascii="Times New Roman" w:hAnsi="Times New Roman" w:cs="Times New Roman"/>
          <w:sz w:val="24"/>
          <w:szCs w:val="24"/>
          <w:lang w:val="en-GB"/>
        </w:rPr>
        <w:commentReference w:id="2"/>
      </w:r>
      <w:r w:rsidRPr="00C425BB">
        <w:rPr>
          <w:rFonts w:ascii="Times New Roman" w:hAnsi="Times New Roman" w:cs="Times New Roman"/>
          <w:lang w:val="en-GB"/>
        </w:rPr>
        <w:t>or durable-media documents containing the relevant information, so that the consumer can genuinely identify, store and reproduce that information unchanged</w:t>
      </w:r>
      <w:commentRangeStart w:id="3"/>
      <w:r w:rsidRPr="00C425BB">
        <w:rPr>
          <w:rFonts w:ascii="Times New Roman" w:hAnsi="Times New Roman" w:cs="Times New Roman"/>
          <w:lang w:val="en-GB"/>
        </w:rPr>
        <w:t>.</w:t>
      </w:r>
      <w:commentRangeEnd w:id="3"/>
      <w:r w:rsidR="002B7ADC" w:rsidRPr="00C425BB">
        <w:rPr>
          <w:rStyle w:val="CommentReference"/>
          <w:rFonts w:ascii="Times New Roman" w:hAnsi="Times New Roman" w:cs="Times New Roman"/>
          <w:sz w:val="24"/>
          <w:szCs w:val="24"/>
          <w:lang w:val="en-GB"/>
        </w:rPr>
        <w:commentReference w:id="3"/>
      </w:r>
      <w:r w:rsidRPr="00C425BB">
        <w:rPr>
          <w:rFonts w:ascii="Times New Roman" w:hAnsi="Times New Roman" w:cs="Times New Roman"/>
          <w:lang w:val="en-GB"/>
        </w:rPr>
        <w:t xml:space="preserve"> </w:t>
      </w:r>
      <w:commentRangeStart w:id="4"/>
      <w:r w:rsidRPr="00C425BB">
        <w:rPr>
          <w:rFonts w:ascii="Times New Roman" w:hAnsi="Times New Roman" w:cs="Times New Roman"/>
          <w:lang w:val="en-GB"/>
        </w:rPr>
        <w:t>The concept of “durable medium” was interpreted autonomously under EU law as any instrument enabling the consumer to store information addressed personally to him, access it for an adequate period, and reproduce it unchanged</w:t>
      </w:r>
      <w:commentRangeEnd w:id="4"/>
      <w:r w:rsidR="003F1776" w:rsidRPr="00C425BB">
        <w:rPr>
          <w:rStyle w:val="CommentReference"/>
          <w:rFonts w:ascii="Times New Roman" w:hAnsi="Times New Roman" w:cs="Times New Roman"/>
          <w:sz w:val="24"/>
          <w:szCs w:val="24"/>
          <w:lang w:val="en-GB"/>
        </w:rPr>
        <w:commentReference w:id="4"/>
      </w:r>
      <w:r w:rsidRPr="00C425BB">
        <w:rPr>
          <w:rFonts w:ascii="Times New Roman" w:hAnsi="Times New Roman" w:cs="Times New Roman"/>
          <w:lang w:val="en-GB"/>
        </w:rPr>
        <w:t>. The Court further held that Directive 2008/48 does not itself require that a paper credit agreement bear the parties’ signatures, since the term “paper” designates the medium, not a signature formality. However, the second subparagraph of Article 10(1) preserves national rules governing the validity of the conclusion of credit agreements, provided they comply with EU law. Accordingly, a Member State may require, under its domestic law, that a paper credit agreement be signed by the parties as a condition of validity. For the same reason, EU law does not preclude national legislation extending that signature requirement to all particulars which, under Article 10(2), must be included in the agreement. The Court’s test is therefore twofold: first, whether the information required by Article 10(2) is contained on paper or a durable medium and incorporated into the agreement; second, whether any additional signature requirement belongs to national rules on contractual validity rather than to the harmonised informational content of the directive</w:t>
      </w:r>
      <w:commentRangeStart w:id="5"/>
      <w:r w:rsidRPr="00C425BB">
        <w:rPr>
          <w:rFonts w:ascii="Times New Roman" w:hAnsi="Times New Roman" w:cs="Times New Roman"/>
          <w:lang w:val="en-GB"/>
        </w:rPr>
        <w:t xml:space="preserve">. </w:t>
      </w:r>
      <w:commentRangeEnd w:id="5"/>
      <w:r w:rsidR="003F1776" w:rsidRPr="00C425BB">
        <w:rPr>
          <w:rStyle w:val="CommentReference"/>
          <w:rFonts w:ascii="Times New Roman" w:hAnsi="Times New Roman" w:cs="Times New Roman"/>
          <w:sz w:val="24"/>
          <w:szCs w:val="24"/>
          <w:lang w:val="en-GB"/>
        </w:rPr>
        <w:commentReference w:id="5"/>
      </w:r>
    </w:p>
    <w:p w14:paraId="7AB98A32" w14:textId="77777777" w:rsidR="00C425BB" w:rsidRPr="00C425BB" w:rsidRDefault="00C425BB" w:rsidP="00C425BB">
      <w:pPr>
        <w:rPr>
          <w:rFonts w:ascii="Times New Roman" w:hAnsi="Times New Roman" w:cs="Times New Roman"/>
          <w:b/>
          <w:bCs/>
          <w:lang w:val="en-GB"/>
        </w:rPr>
      </w:pPr>
      <w:r w:rsidRPr="00C425BB">
        <w:rPr>
          <w:rFonts w:ascii="Times New Roman" w:hAnsi="Times New Roman" w:cs="Times New Roman"/>
          <w:b/>
          <w:bCs/>
          <w:lang w:val="en-GB"/>
        </w:rPr>
        <w:t>Articles 10(2)(h) and (i), 22(1), and 23</w:t>
      </w:r>
    </w:p>
    <w:p w14:paraId="1F53AAF8" w14:textId="7D80D818" w:rsidR="002A6335" w:rsidRDefault="00C425BB">
      <w:pPr>
        <w:rPr>
          <w:rFonts w:ascii="Times New Roman" w:hAnsi="Times New Roman" w:cs="Times New Roman"/>
          <w:lang w:val="en-GB"/>
        </w:rPr>
      </w:pPr>
      <w:r w:rsidRPr="00C425BB">
        <w:rPr>
          <w:rFonts w:ascii="Times New Roman" w:hAnsi="Times New Roman" w:cs="Times New Roman"/>
          <w:lang w:val="en-GB"/>
        </w:rPr>
        <w:t xml:space="preserve">As regards Article 10(2)(h), the Court held that the agreement need not state the exact calendar date of each instalment. It is sufficient that the contractual terms enable the consumer to ascertain, without difficulty and with certainty, when each payment falls due. </w:t>
      </w:r>
      <w:commentRangeStart w:id="6"/>
      <w:r w:rsidRPr="00C425BB">
        <w:rPr>
          <w:rFonts w:ascii="Times New Roman" w:hAnsi="Times New Roman" w:cs="Times New Roman"/>
          <w:lang w:val="en-GB"/>
        </w:rPr>
        <w:t>The legal test adopted by the Court is thus one of objective ascertainability: the provision is satisfied where the agreement contains criteria sufficiently clear to permit the consumer to identify the due dates reliably. The Court rejected any requirement of excessive formalism so long as the consumer can determine payment dates with certainty</w:t>
      </w:r>
      <w:commentRangeEnd w:id="6"/>
      <w:r w:rsidR="003F1776" w:rsidRPr="00C425BB">
        <w:rPr>
          <w:rStyle w:val="CommentReference"/>
          <w:rFonts w:ascii="Times New Roman" w:hAnsi="Times New Roman" w:cs="Times New Roman"/>
          <w:sz w:val="24"/>
          <w:szCs w:val="24"/>
          <w:lang w:val="en-GB"/>
        </w:rPr>
        <w:commentReference w:id="6"/>
      </w:r>
      <w:r w:rsidRPr="00C425BB">
        <w:rPr>
          <w:rFonts w:ascii="Times New Roman" w:hAnsi="Times New Roman" w:cs="Times New Roman"/>
          <w:lang w:val="en-GB"/>
        </w:rPr>
        <w:t>.</w:t>
      </w:r>
      <w:r>
        <w:rPr>
          <w:rFonts w:ascii="Times New Roman" w:hAnsi="Times New Roman" w:cs="Times New Roman"/>
          <w:lang w:val="en-GB"/>
        </w:rPr>
        <w:t xml:space="preserve"> </w:t>
      </w:r>
      <w:r w:rsidRPr="00C425BB">
        <w:rPr>
          <w:rFonts w:ascii="Times New Roman" w:hAnsi="Times New Roman" w:cs="Times New Roman"/>
          <w:lang w:val="en-GB"/>
        </w:rPr>
        <w:t xml:space="preserve">On Article 10(2)(h) and (i), the Court held that a fixed-term credit agreement providing for amortisation in successive instalments need not itself contain an amortisation table or specify the proportion of each instalment allocated to capital repayment. Article 10(2)(i), read with Article 10(3), confers instead a right on the consumer to obtain, on request and free of charge at any time during the agreement, a statement of account in the form of an amortisation table. Since Article 10(2) exhaustively harmonises the information that must imperatively be included in the agreement, </w:t>
      </w:r>
      <w:r w:rsidRPr="00C425BB">
        <w:rPr>
          <w:rFonts w:ascii="Times New Roman" w:hAnsi="Times New Roman" w:cs="Times New Roman"/>
          <w:lang w:val="en-GB"/>
        </w:rPr>
        <w:lastRenderedPageBreak/>
        <w:t xml:space="preserve">Article 22(1) precludes a Member State from imposing an additional obligation to include such a breakdown in the contract itself. The </w:t>
      </w:r>
      <w:commentRangeStart w:id="7"/>
      <w:r w:rsidRPr="00C425BB">
        <w:rPr>
          <w:rFonts w:ascii="Times New Roman" w:hAnsi="Times New Roman" w:cs="Times New Roman"/>
          <w:lang w:val="en-GB"/>
        </w:rPr>
        <w:t>Court reasoned that Article 10(2)(u), referring to “other contractual terms and conditions”, cannot be used to reintroduce national requirements concerning information beyond the harmonised list</w:t>
      </w:r>
      <w:commentRangeEnd w:id="7"/>
      <w:r w:rsidR="003F1776" w:rsidRPr="00C425BB">
        <w:rPr>
          <w:rStyle w:val="CommentReference"/>
          <w:rFonts w:ascii="Times New Roman" w:hAnsi="Times New Roman" w:cs="Times New Roman"/>
          <w:sz w:val="24"/>
          <w:szCs w:val="24"/>
          <w:lang w:val="en-GB"/>
        </w:rPr>
        <w:commentReference w:id="7"/>
      </w:r>
      <w:r w:rsidRPr="00C425BB">
        <w:rPr>
          <w:rFonts w:ascii="Times New Roman" w:hAnsi="Times New Roman" w:cs="Times New Roman"/>
          <w:lang w:val="en-GB"/>
        </w:rPr>
        <w:t>.</w:t>
      </w:r>
      <w:r>
        <w:rPr>
          <w:rFonts w:ascii="Times New Roman" w:hAnsi="Times New Roman" w:cs="Times New Roman"/>
          <w:lang w:val="en-GB"/>
        </w:rPr>
        <w:t xml:space="preserve"> </w:t>
      </w:r>
      <w:r w:rsidRPr="00C425BB">
        <w:rPr>
          <w:rFonts w:ascii="Times New Roman" w:hAnsi="Times New Roman" w:cs="Times New Roman"/>
          <w:lang w:val="en-GB"/>
        </w:rPr>
        <w:t xml:space="preserve">Finally, on Article 23, the Court held that national legislation may provide that a credit agreement lacking mandatory information is deemed interest-free and free of charges, but only insofar as the omitted information is of such importance that its absence may compromise the consumer’s ability to assess the extent of his liability. The proportionality test is therefore linked to the material significance of the omitted information. </w:t>
      </w:r>
      <w:commentRangeStart w:id="8"/>
      <w:r w:rsidRPr="00C425BB">
        <w:rPr>
          <w:rFonts w:ascii="Times New Roman" w:hAnsi="Times New Roman" w:cs="Times New Roman"/>
          <w:lang w:val="en-GB"/>
        </w:rPr>
        <w:t xml:space="preserve">A severe penalty may be justified for failure to state essential matters such as the annual percentage rate of charge, the number and frequency of payments, or certain charges and required guarantees; by contrast, the same penalty would be disproportionate where the omitted item, by its nature, cannot affect the consumer’s assessment of liability, such as the name and address of the competent supervisory authority. </w:t>
      </w:r>
      <w:commentRangeEnd w:id="8"/>
      <w:r w:rsidR="006675FF" w:rsidRPr="00C425BB">
        <w:rPr>
          <w:rStyle w:val="CommentReference"/>
          <w:rFonts w:ascii="Times New Roman" w:hAnsi="Times New Roman" w:cs="Times New Roman"/>
          <w:sz w:val="24"/>
          <w:szCs w:val="24"/>
          <w:lang w:val="en-GB"/>
        </w:rPr>
        <w:commentReference w:id="8"/>
      </w:r>
      <w:r w:rsidRPr="00C425BB">
        <w:rPr>
          <w:rFonts w:ascii="Times New Roman" w:hAnsi="Times New Roman" w:cs="Times New Roman"/>
          <w:lang w:val="en-GB"/>
        </w:rPr>
        <w:t>The Court thus reconciled Member States’ procedural autonomy in penalties with the requirements that penalties be effective, dissuasive and proportionate.</w:t>
      </w:r>
    </w:p>
    <w:p w14:paraId="35DF280A" w14:textId="77777777" w:rsidR="00C425BB" w:rsidRPr="00C425BB" w:rsidRDefault="00C425BB">
      <w:pPr>
        <w:rPr>
          <w:rFonts w:ascii="Times New Roman" w:hAnsi="Times New Roman" w:cs="Times New Roman"/>
          <w:lang w:val="en-GB"/>
        </w:rPr>
      </w:pPr>
    </w:p>
    <w:p w14:paraId="0C04B51F" w14:textId="77777777" w:rsidR="00C425BB" w:rsidRPr="00C425BB" w:rsidRDefault="002A6335">
      <w:pPr>
        <w:rPr>
          <w:rFonts w:ascii="Times New Roman" w:hAnsi="Times New Roman" w:cs="Times New Roman"/>
          <w:lang w:val="en-GB"/>
        </w:rPr>
      </w:pPr>
      <w:r w:rsidRPr="00C425BB">
        <w:rPr>
          <w:rFonts w:ascii="Times New Roman" w:hAnsi="Times New Roman" w:cs="Times New Roman"/>
          <w:lang w:val="en-GB"/>
        </w:rPr>
        <w:t xml:space="preserve">GPT </w:t>
      </w:r>
      <w:r w:rsidR="00C425BB" w:rsidRPr="00C425BB">
        <w:rPr>
          <w:rFonts w:ascii="Times New Roman" w:hAnsi="Times New Roman" w:cs="Times New Roman"/>
          <w:lang w:val="en-GB"/>
        </w:rPr>
        <w:t>4</w:t>
      </w:r>
    </w:p>
    <w:p w14:paraId="7E78AA77"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Articles 3(m), 10(1) and (2)</w:t>
      </w:r>
    </w:p>
    <w:p w14:paraId="76308F43" w14:textId="77777777" w:rsidR="00C425BB" w:rsidRPr="00C425BB" w:rsidRDefault="00C425BB" w:rsidP="00C425BB">
      <w:pPr>
        <w:rPr>
          <w:rFonts w:ascii="Times New Roman" w:hAnsi="Times New Roman" w:cs="Times New Roman"/>
          <w:lang w:val="en-GB"/>
        </w:rPr>
      </w:pPr>
    </w:p>
    <w:p w14:paraId="51032CE8" w14:textId="547F6081"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The Court held that Article 10(1) and (2) of Directive 2008/48, read together with Article 3(m), does not require that all the mandatory contractual information be contained in a single physical instrument. What is required is that all information listed in Article 10(2) be set out on paper or on another durable medium and form part of the credit agreement, so that the consumer is placed in a position to know, clearly and concisely, the full extent of his rights and obligations. The interpretative criterion adopted by the Court is functional and consumer-protective: the decisive issue is not the documentary unity of the contract, but whether the contractual information is incorporated into the agreement in a manner that ensures effective access, permanence and legal certainty for the consumer.</w:t>
      </w:r>
      <w:r>
        <w:rPr>
          <w:rFonts w:ascii="Times New Roman" w:hAnsi="Times New Roman" w:cs="Times New Roman"/>
          <w:lang w:val="en-GB"/>
        </w:rPr>
        <w:t xml:space="preserve"> </w:t>
      </w:r>
      <w:r w:rsidRPr="00C425BB">
        <w:rPr>
          <w:rFonts w:ascii="Times New Roman" w:hAnsi="Times New Roman" w:cs="Times New Roman"/>
          <w:lang w:val="en-GB"/>
        </w:rPr>
        <w:t>In that context, the Court emphasised that where the agreement refers to other documents, such reference must be clear and precise, and the additional documents themselves must exist on paper or another durable medium. The concept of “durable medium” in Article 3(m) was understood autonomously under EU law, as covering any instrument enabling the consumer to store information addressed personally to him, to access it for an adequate period, and to reproduce it unchanged. The Court’s reasoning was directed to the practical effectiveness of consumer protection: the consumer must genuinely be able to retain the information and rely on it subsequently, in the same way as with paper form.</w:t>
      </w:r>
      <w:r>
        <w:rPr>
          <w:rFonts w:ascii="Times New Roman" w:hAnsi="Times New Roman" w:cs="Times New Roman"/>
          <w:lang w:val="en-GB"/>
        </w:rPr>
        <w:t xml:space="preserve"> </w:t>
      </w:r>
      <w:r w:rsidRPr="00C425BB">
        <w:rPr>
          <w:rFonts w:ascii="Times New Roman" w:hAnsi="Times New Roman" w:cs="Times New Roman"/>
          <w:lang w:val="en-GB"/>
        </w:rPr>
        <w:t xml:space="preserve">As regards form requirements, the Court drew a distinction between the harmonised informational regime under Article 10 and national rules governing the validity of the conclusion of credit agreements. Since Article 10(1), second subparagraph, expressly preserves national rules on validity that comply with EU law, Directive 2008/48 does not preclude national legislation requiring a credit agreement drawn up on paper to be signed by the parties. Nor does the directive preclude such a national </w:t>
      </w:r>
      <w:r w:rsidRPr="00C425BB">
        <w:rPr>
          <w:rFonts w:ascii="Times New Roman" w:hAnsi="Times New Roman" w:cs="Times New Roman"/>
          <w:lang w:val="en-GB"/>
        </w:rPr>
        <w:lastRenderedPageBreak/>
        <w:t>requirement from extending to all particulars that must be included in the agreement under Article 10(2), provided those particulars form part of the agreement. The legal test, therefore, is whether the national rule concerns contractual validity rather than introducing additional substantive informational obligations in a harmonised field. On that basis, the Court accepted that signature requirements may lawfully attach, under national law, to the contractual details contained in the agreement.</w:t>
      </w:r>
    </w:p>
    <w:p w14:paraId="01DE8E70" w14:textId="77777777" w:rsidR="00C425BB" w:rsidRPr="00C425BB" w:rsidRDefault="00C425BB" w:rsidP="00C425BB">
      <w:pPr>
        <w:rPr>
          <w:rFonts w:ascii="Times New Roman" w:hAnsi="Times New Roman" w:cs="Times New Roman"/>
          <w:lang w:val="en-GB"/>
        </w:rPr>
      </w:pPr>
    </w:p>
    <w:p w14:paraId="520AFD1C"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Articles 10(2)(h) and (i), 22(1), and 23</w:t>
      </w:r>
    </w:p>
    <w:p w14:paraId="0A9CEB47" w14:textId="77777777" w:rsidR="00C425BB" w:rsidRPr="00C425BB" w:rsidRDefault="00C425BB" w:rsidP="00C425BB">
      <w:pPr>
        <w:rPr>
          <w:rFonts w:ascii="Times New Roman" w:hAnsi="Times New Roman" w:cs="Times New Roman"/>
          <w:lang w:val="en-GB"/>
        </w:rPr>
      </w:pPr>
    </w:p>
    <w:p w14:paraId="77635EA2" w14:textId="2A3E5945"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With regard to Article 10(2)(h), the Court interpreted the requirement to state the amount, number and frequency of payments as not obliging the creditor to specify, within the agreement, the exact calendar date of every instalment. The controlling test is whether the terms of the agreement enable the consumer to ascertain, without difficulty and with certainty, when each payment falls due. The Court thus favoured a substantive standard of intelligibility over formalistic precision: a general contractual formula may suffice, provided it permits the due dates to be objectively identified by the consumer.</w:t>
      </w:r>
      <w:r>
        <w:rPr>
          <w:rFonts w:ascii="Times New Roman" w:hAnsi="Times New Roman" w:cs="Times New Roman"/>
          <w:lang w:val="en-GB"/>
        </w:rPr>
        <w:t xml:space="preserve"> </w:t>
      </w:r>
      <w:r w:rsidRPr="00C425BB">
        <w:rPr>
          <w:rFonts w:ascii="Times New Roman" w:hAnsi="Times New Roman" w:cs="Times New Roman"/>
          <w:lang w:val="en-GB"/>
        </w:rPr>
        <w:t>As to Articles 10(2)(h) and (i), the Court further held that, in the case of a fixed-term credit agreement involving capital amortisation by consecutive instalments, the agreement need not include an amortisation table or specify the exact proportion of each instalment allocated to capital repayment. Article 10(2)(i), read with Article 10(3), confers instead a distinct right on the consumer to obtain such a table, free of charge and on request, at any time during the life of the agreement. The Court reasoned from the clear wording of those provisions that the amortisation table is an ancillary disclosure available upon request, not a mandatory element of the agreement itself.</w:t>
      </w:r>
      <w:r>
        <w:rPr>
          <w:rFonts w:ascii="Times New Roman" w:hAnsi="Times New Roman" w:cs="Times New Roman"/>
          <w:lang w:val="en-GB"/>
        </w:rPr>
        <w:t xml:space="preserve"> </w:t>
      </w:r>
      <w:r w:rsidRPr="00C425BB">
        <w:rPr>
          <w:rFonts w:ascii="Times New Roman" w:hAnsi="Times New Roman" w:cs="Times New Roman"/>
          <w:lang w:val="en-GB"/>
        </w:rPr>
        <w:t>That interpretation was decisive for Article 22(1). Since Article 10(2) harmonises exhaustively the information that must be included in the credit agreement, Member States may not impose additional mandatory particulars in that same field. Accordingly, national legislation cannot require inclusion, in the agreement, of a breakdown of each instalment between principal and interest. Article 10(2)(u) could not be relied upon to justify such an addition, because it concerns contractual terms agreed by the parties, not Member State power to expand the harmonised catalogue of mandatory disclosures.</w:t>
      </w:r>
      <w:r>
        <w:rPr>
          <w:rFonts w:ascii="Times New Roman" w:hAnsi="Times New Roman" w:cs="Times New Roman"/>
          <w:lang w:val="en-GB"/>
        </w:rPr>
        <w:t xml:space="preserve"> </w:t>
      </w:r>
      <w:r w:rsidRPr="00C425BB">
        <w:rPr>
          <w:rFonts w:ascii="Times New Roman" w:hAnsi="Times New Roman" w:cs="Times New Roman"/>
          <w:lang w:val="en-GB"/>
        </w:rPr>
        <w:t>Finally, under Article 23, the Court held that national legislation may provide that failure to include mandatory Article 10(2) information results in the credit being deemed interest-free and free of charges, but only where the omitted information is of such importance that its absence may compromise the consumer’s ability to assess the extent of his liability. The proportionality test applied by the Court required the penalty to be effective, dissuasive and commensurate with the seriousness of the infringement. Thus, such a penalty is proportionate where the missing information concerns matters such as the annual percentage rate of charge, payment frequency, notarial fees, or required sureties and insurance, but not where the omission concerns information which, by its nature, cannot affect the consumer’s assessment of liability, such as the identity of the competent supervisory authority.</w:t>
      </w:r>
    </w:p>
    <w:p w14:paraId="3B132A12" w14:textId="77777777" w:rsidR="00C425BB" w:rsidRDefault="00C425BB">
      <w:pPr>
        <w:rPr>
          <w:rFonts w:ascii="Times New Roman" w:hAnsi="Times New Roman" w:cs="Times New Roman"/>
          <w:lang w:val="en-GB"/>
        </w:rPr>
      </w:pPr>
    </w:p>
    <w:p w14:paraId="18DFBBB8" w14:textId="77777777" w:rsidR="00C425BB" w:rsidRDefault="00C425BB">
      <w:pPr>
        <w:rPr>
          <w:rFonts w:ascii="Times New Roman" w:hAnsi="Times New Roman" w:cs="Times New Roman"/>
          <w:lang w:val="en-GB"/>
        </w:rPr>
      </w:pPr>
      <w:r w:rsidRPr="00C425BB">
        <w:rPr>
          <w:rFonts w:ascii="Times New Roman" w:hAnsi="Times New Roman" w:cs="Times New Roman"/>
          <w:lang w:val="en-GB"/>
        </w:rPr>
        <w:lastRenderedPageBreak/>
        <w:t>GP</w:t>
      </w:r>
      <w:r>
        <w:rPr>
          <w:rFonts w:ascii="Times New Roman" w:hAnsi="Times New Roman" w:cs="Times New Roman"/>
          <w:lang w:val="en-GB"/>
        </w:rPr>
        <w:t>T 5</w:t>
      </w:r>
      <w:r w:rsidR="002A6335" w:rsidRPr="00C425BB">
        <w:rPr>
          <w:rFonts w:ascii="Times New Roman" w:hAnsi="Times New Roman" w:cs="Times New Roman"/>
          <w:lang w:val="en-GB"/>
        </w:rPr>
        <w:br/>
      </w:r>
    </w:p>
    <w:p w14:paraId="4AFD5D55"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3(m) and Article 10(1) and (2)</w:t>
      </w:r>
    </w:p>
    <w:p w14:paraId="74F26A34" w14:textId="77777777" w:rsidR="00C425BB" w:rsidRPr="00C425BB" w:rsidRDefault="00C425BB" w:rsidP="00C425BB">
      <w:pPr>
        <w:rPr>
          <w:rFonts w:ascii="Times New Roman" w:hAnsi="Times New Roman" w:cs="Times New Roman"/>
          <w:lang w:val="en-GB"/>
        </w:rPr>
      </w:pPr>
    </w:p>
    <w:p w14:paraId="42877DEC" w14:textId="4F06C540"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The Court interpreted Article 10(1) and (2) of Directive 2008/48, read together with Article 3(m), as governing the manner in which the mandatory contractual information must be made available to the consumer, while preserving Member States’ competence as regards rules on the validity of the conclusion of the agreement. It held, first, that the directive does not require all the information listed in Article 10(2) to appear in a single document. What is required is that all such information be set out on paper or on another durable medium and form part of the credit agreement. The decisive consideration is whether the consumer is placed in a position to know, clearly and comprehensively, the rights and obligations arising from the agreement.</w:t>
      </w:r>
      <w:r>
        <w:rPr>
          <w:rFonts w:ascii="Times New Roman" w:hAnsi="Times New Roman" w:cs="Times New Roman"/>
          <w:lang w:val="en-GB"/>
        </w:rPr>
        <w:t xml:space="preserve"> </w:t>
      </w:r>
      <w:r w:rsidRPr="00C425BB">
        <w:rPr>
          <w:rFonts w:ascii="Times New Roman" w:hAnsi="Times New Roman" w:cs="Times New Roman"/>
          <w:lang w:val="en-GB"/>
        </w:rPr>
        <w:t>In that connection, the Court gave an autonomous Union meaning to the concept of “durable medium” in Article 3(m). That concept covers any instrument enabling the consumer to store information addressed personally to him or her, to access it in the future for a period adequate to the purpose of the information, and to reproduce it unchanged. The Court’s reasoning emphasised the protective function of Article 10: the formal requirements are intended to ensure that the consumer can genuinely retain and consult the relevant contractual information and thereby make informed use of the rights conferred by the directive.</w:t>
      </w:r>
      <w:r>
        <w:rPr>
          <w:rFonts w:ascii="Times New Roman" w:hAnsi="Times New Roman" w:cs="Times New Roman"/>
          <w:lang w:val="en-GB"/>
        </w:rPr>
        <w:t xml:space="preserve"> </w:t>
      </w:r>
      <w:r w:rsidRPr="00C425BB">
        <w:rPr>
          <w:rFonts w:ascii="Times New Roman" w:hAnsi="Times New Roman" w:cs="Times New Roman"/>
          <w:lang w:val="en-GB"/>
        </w:rPr>
        <w:t>Where the agreement refers to other documents containing part of the required information, those references must therefore be clear and precise, so that the consumer may, without ambiguity, identify and apprehend the content incorporated into the contract. The Court thus accepted contractual structuring through more than one document, but only on condition that the totality of the Article 10(2) information is effectively provided on paper or another durable medium and incorporated into the agreement in a manner compatible with transparency and legal certainty.</w:t>
      </w:r>
      <w:r>
        <w:rPr>
          <w:rFonts w:ascii="Times New Roman" w:hAnsi="Times New Roman" w:cs="Times New Roman"/>
          <w:lang w:val="en-GB"/>
        </w:rPr>
        <w:t xml:space="preserve"> </w:t>
      </w:r>
      <w:r w:rsidRPr="00C425BB">
        <w:rPr>
          <w:rFonts w:ascii="Times New Roman" w:hAnsi="Times New Roman" w:cs="Times New Roman"/>
          <w:lang w:val="en-GB"/>
        </w:rPr>
        <w:t>Secondly, the Court held that Directive 2008/48 does not preclude national legislation requiring a credit agreement drawn up on paper to be signed by the parties, nor national legislation extending that signature requirement to all the particulars required by Article 10(2). Article 10(1) itself does not impose a Union requirement of signature. However, the second subparagraph of Article 10(1) expressly leaves unaffected national rules concerning the validity of the conclusion of credit agreements, provided those rules are compatible with EU law. A domestic requirement of signature therefore falls within that reserved sphere of national law.</w:t>
      </w:r>
      <w:r>
        <w:rPr>
          <w:rFonts w:ascii="Times New Roman" w:hAnsi="Times New Roman" w:cs="Times New Roman"/>
          <w:lang w:val="en-GB"/>
        </w:rPr>
        <w:t xml:space="preserve"> </w:t>
      </w:r>
      <w:r w:rsidRPr="00C425BB">
        <w:rPr>
          <w:rFonts w:ascii="Times New Roman" w:hAnsi="Times New Roman" w:cs="Times New Roman"/>
          <w:lang w:val="en-GB"/>
        </w:rPr>
        <w:t>The Court’s legal test was thus twofold: whether the directive harmonises the matter at issue, and, if not, whether the national rule concerns contractual validity and remains compatible with Union law. Applying that test, it concluded that while the directive fully harmonises the information to be included in the agreement, it does not itself regulate the formal national requirements by which a paper agreement is rendered valid.</w:t>
      </w:r>
    </w:p>
    <w:p w14:paraId="62F6ADC2" w14:textId="77777777" w:rsidR="00C425BB" w:rsidRDefault="00C425BB" w:rsidP="00C425BB">
      <w:pPr>
        <w:rPr>
          <w:rFonts w:ascii="Times New Roman" w:hAnsi="Times New Roman" w:cs="Times New Roman"/>
          <w:lang w:val="en-GB"/>
        </w:rPr>
      </w:pPr>
    </w:p>
    <w:p w14:paraId="6ECA6F23" w14:textId="77777777" w:rsidR="009530EC" w:rsidRPr="00C425BB" w:rsidRDefault="009530EC" w:rsidP="00C425BB">
      <w:pPr>
        <w:rPr>
          <w:rFonts w:ascii="Times New Roman" w:hAnsi="Times New Roman" w:cs="Times New Roman"/>
          <w:lang w:val="en-GB"/>
        </w:rPr>
      </w:pPr>
    </w:p>
    <w:p w14:paraId="2C74E250"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lastRenderedPageBreak/>
        <w:t>Article 10(2)(h) and (i), Article 22(1), and Article 23</w:t>
      </w:r>
    </w:p>
    <w:p w14:paraId="1B1AF40D" w14:textId="77777777" w:rsidR="00C425BB" w:rsidRPr="00C425BB" w:rsidRDefault="00C425BB" w:rsidP="00C425BB">
      <w:pPr>
        <w:rPr>
          <w:rFonts w:ascii="Times New Roman" w:hAnsi="Times New Roman" w:cs="Times New Roman"/>
          <w:lang w:val="en-GB"/>
        </w:rPr>
      </w:pPr>
    </w:p>
    <w:p w14:paraId="5B1FFB58" w14:textId="77777777" w:rsidR="00C425BB" w:rsidRDefault="00C425BB" w:rsidP="00C425BB">
      <w:pPr>
        <w:rPr>
          <w:rFonts w:ascii="Times New Roman" w:hAnsi="Times New Roman" w:cs="Times New Roman"/>
          <w:lang w:val="en-GB"/>
        </w:rPr>
      </w:pPr>
      <w:r w:rsidRPr="00C425BB">
        <w:rPr>
          <w:rFonts w:ascii="Times New Roman" w:hAnsi="Times New Roman" w:cs="Times New Roman"/>
          <w:lang w:val="en-GB"/>
        </w:rPr>
        <w:t>As regards Article 10(2)(h), the Court held that the requirement to state the amount, number and frequency of payments does not oblige the creditor to indicate the exact calendar date of every instalment. A general formulation is sufficient where the terms of the agreement enable the consumer to ascertain, without difficulty and with certainty, when each payment falls due. The Court thus adopted a functional test centred on the consumer’s ability, from the contractual wording itself, to identify the repayment dates reliably. The focus was not on formal exactitude for its own sake, but on whether the agreement effectively conveys the due-date structure in a clear and intelligible manner.</w:t>
      </w:r>
      <w:r>
        <w:rPr>
          <w:rFonts w:ascii="Times New Roman" w:hAnsi="Times New Roman" w:cs="Times New Roman"/>
          <w:lang w:val="en-GB"/>
        </w:rPr>
        <w:t xml:space="preserve"> </w:t>
      </w:r>
      <w:r w:rsidRPr="00C425BB">
        <w:rPr>
          <w:rFonts w:ascii="Times New Roman" w:hAnsi="Times New Roman" w:cs="Times New Roman"/>
          <w:lang w:val="en-GB"/>
        </w:rPr>
        <w:t>Concerning Article 10(2)(h) and (i), the Court further held that a fixed-term credit agreement involving amortisation of capital in consecutive instalments need not include, within the agreement itself, an amortisation table showing the breakdown of each instalment between capital repayment, interest and other charges. The directive distinguishes between, on the one hand, the information that must mandatorily appear in the agreement at the time of conclusion and, on the other, the consumer’s separate right under Article 10(2)(i) and Article 10(3) to obtain, on request and free of charge during the life of the agreement, a statement of account in the form of an amortisation table. The Court reasoned from the clear wording of those provisions that the amortisation table is an accessory informational entitlement activated by request, not an element that must automatically be incorporated into every agreement.</w:t>
      </w:r>
      <w:r>
        <w:rPr>
          <w:rFonts w:ascii="Times New Roman" w:hAnsi="Times New Roman" w:cs="Times New Roman"/>
          <w:lang w:val="en-GB"/>
        </w:rPr>
        <w:t xml:space="preserve"> </w:t>
      </w:r>
      <w:r w:rsidRPr="00C425BB">
        <w:rPr>
          <w:rFonts w:ascii="Times New Roman" w:hAnsi="Times New Roman" w:cs="Times New Roman"/>
          <w:lang w:val="en-GB"/>
        </w:rPr>
        <w:t>By virtue of Article 22(1), that interpretation also excludes national rules imposing a stricter obligation in a harmonised field. Since Article 10(2) exhaustively harmonises the information that must be included in the agreement, a Member State may not require additional mandatory particulars, such as a compulsory amortisation schedule forming part of the contract. Article 10(2)(u), referring to “other contractual terms and conditions”, could not be used to circumvent that limit; it obliges inclusion of terms agreed between the parties, but does not authorise Member States to add further mandatory informational requirements.</w:t>
      </w:r>
      <w:r>
        <w:rPr>
          <w:rFonts w:ascii="Times New Roman" w:hAnsi="Times New Roman" w:cs="Times New Roman"/>
          <w:lang w:val="en-GB"/>
        </w:rPr>
        <w:t xml:space="preserve"> </w:t>
      </w:r>
      <w:r w:rsidRPr="00C425BB">
        <w:rPr>
          <w:rFonts w:ascii="Times New Roman" w:hAnsi="Times New Roman" w:cs="Times New Roman"/>
          <w:lang w:val="en-GB"/>
        </w:rPr>
        <w:t>Finally, under Article 23, the Court held that a national penalty under which a credit agreement is deemed interest-free and free of charges may be compatible with the directive, but only subject to the principle of proportionality. Such a sanction is permissible where the omitted information concerns matters whose absence may compromise the consumer’s ability to assess the extent of his or her liability, such as the annual percentage rate of charge, the number and frequency of payments, or required guarantees and insurance. By contrast, the same penalty would be disproportionate if triggered by omission of information which, by its nature, cannot affect that assessment, such as the identity of the competent supervisory authority. The Court therefore tied the validity of the sanction to the material significance of the missing information for informed consumer decision-making.</w:t>
      </w:r>
      <w:r w:rsidR="002A6335" w:rsidRPr="00C425BB">
        <w:rPr>
          <w:rFonts w:ascii="Times New Roman" w:hAnsi="Times New Roman" w:cs="Times New Roman"/>
          <w:lang w:val="en-GB"/>
        </w:rPr>
        <w:br/>
      </w:r>
      <w:r w:rsidR="002A6335" w:rsidRPr="00C425BB">
        <w:rPr>
          <w:rFonts w:ascii="Times New Roman" w:hAnsi="Times New Roman" w:cs="Times New Roman"/>
          <w:lang w:val="en-GB"/>
        </w:rPr>
        <w:br/>
      </w:r>
    </w:p>
    <w:p w14:paraId="41A6A93D" w14:textId="77777777" w:rsidR="00C425BB" w:rsidRDefault="00C425BB" w:rsidP="00C425BB">
      <w:pPr>
        <w:rPr>
          <w:rFonts w:ascii="Times New Roman" w:hAnsi="Times New Roman" w:cs="Times New Roman"/>
          <w:lang w:val="en-GB"/>
        </w:rPr>
      </w:pPr>
    </w:p>
    <w:p w14:paraId="61D11A84" w14:textId="77777777" w:rsidR="00C425BB" w:rsidRDefault="00C425BB" w:rsidP="00C425BB">
      <w:pPr>
        <w:rPr>
          <w:rFonts w:ascii="Times New Roman" w:hAnsi="Times New Roman" w:cs="Times New Roman"/>
          <w:lang w:val="en-GB"/>
        </w:rPr>
      </w:pPr>
    </w:p>
    <w:p w14:paraId="65F6EE9E" w14:textId="77777777" w:rsidR="00C425BB" w:rsidRDefault="00C425BB" w:rsidP="00C425BB">
      <w:pPr>
        <w:rPr>
          <w:rFonts w:ascii="Times New Roman" w:hAnsi="Times New Roman" w:cs="Times New Roman"/>
          <w:lang w:val="en-GB"/>
        </w:rPr>
      </w:pPr>
    </w:p>
    <w:p w14:paraId="1620D723" w14:textId="55CA0FC3" w:rsidR="002A6335" w:rsidRPr="00C425BB" w:rsidRDefault="002A6335" w:rsidP="00C425BB">
      <w:pPr>
        <w:rPr>
          <w:rFonts w:ascii="Times New Roman" w:hAnsi="Times New Roman" w:cs="Times New Roman"/>
          <w:lang w:val="en-GB"/>
        </w:rPr>
      </w:pPr>
      <w:r w:rsidRPr="00C425BB">
        <w:rPr>
          <w:rFonts w:ascii="Times New Roman" w:hAnsi="Times New Roman" w:cs="Times New Roman"/>
          <w:lang w:val="en-GB"/>
        </w:rPr>
        <w:t>CLAUDE 1</w:t>
      </w:r>
      <w:r w:rsidR="009530EC">
        <w:rPr>
          <w:rFonts w:ascii="Times New Roman" w:hAnsi="Times New Roman" w:cs="Times New Roman"/>
          <w:lang w:val="en-GB"/>
        </w:rPr>
        <w:t xml:space="preserve"> *</w:t>
      </w:r>
    </w:p>
    <w:p w14:paraId="333E4459"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3(m) and Article 10(1) — 'Paper' and 'durable medium': autonomous concepts; multi-document credit agreements</w:t>
      </w:r>
    </w:p>
    <w:p w14:paraId="76D0EBD0"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The terms 'on paper' and 'on another durable medium' in Article 10(1) of Directive 2008/48, read in conjunction with Article 3(m), bear an autonomous meaning independent of national law and cannot be interpreted by reference to domestic rules governing the form of credit agreements. Whereas 'paper' denotes the physical medium on which the agreement is drawn up without itself connoting a signature requirement, 'durable medium' means any instrument enabling the consumer to store information addressed personally to him, to ensure its unchanged reproduction, and to access it for a period adequate for the purposes of the information. The directive does not require that all mandatory information be contained in a single document; a credit agreement may therefore consist of several documents, provided that all information required under Article 10(2) is set out on paper or on another durable medium and is incorporated into the credit agreement through a clear and precise cross-reference, so as to genuinely apprise the consumer of all his rights and obligations. However, Article 10(1), second subparagraph, expressly preserves national rules on the validity of credit agreements that are in conformity with Union law. Accordingly, neither Directive 2008/48 nor Union law in general precludes a Member State from requiring, as a condition of validity, that a credit agreement drawn up on paper be signed by the parties and that such signature requirement extend to all information listed in Article 10(</w:t>
      </w:r>
      <w:commentRangeStart w:id="9"/>
      <w:r w:rsidRPr="00C425BB">
        <w:rPr>
          <w:rFonts w:ascii="Times New Roman" w:hAnsi="Times New Roman" w:cs="Times New Roman"/>
          <w:lang w:val="en-GB"/>
        </w:rPr>
        <w:t>2).</w:t>
      </w:r>
      <w:commentRangeEnd w:id="9"/>
      <w:r w:rsidR="006675FF" w:rsidRPr="00C425BB">
        <w:rPr>
          <w:rStyle w:val="CommentReference"/>
          <w:rFonts w:ascii="Times New Roman" w:hAnsi="Times New Roman" w:cs="Times New Roman"/>
          <w:sz w:val="24"/>
          <w:szCs w:val="24"/>
          <w:lang w:val="en-GB"/>
        </w:rPr>
        <w:commentReference w:id="9"/>
      </w:r>
    </w:p>
    <w:p w14:paraId="47F37077" w14:textId="77777777" w:rsidR="00C425BB" w:rsidRPr="00C425BB" w:rsidRDefault="00C425BB" w:rsidP="00C425BB">
      <w:pPr>
        <w:rPr>
          <w:rFonts w:ascii="Times New Roman" w:hAnsi="Times New Roman" w:cs="Times New Roman"/>
          <w:lang w:val="en-GB"/>
        </w:rPr>
      </w:pPr>
    </w:p>
    <w:p w14:paraId="612E6044"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10(2)(h) — Frequency of payments: objective criteria sufficient</w:t>
      </w:r>
    </w:p>
    <w:p w14:paraId="02CA6D4D" w14:textId="1CF792EE" w:rsidR="002A6335" w:rsidRPr="00C425BB" w:rsidRDefault="00C425BB" w:rsidP="00C425BB">
      <w:pPr>
        <w:rPr>
          <w:rFonts w:ascii="Times New Roman" w:hAnsi="Times New Roman" w:cs="Times New Roman"/>
          <w:lang w:val="en-GB"/>
        </w:rPr>
      </w:pPr>
      <w:r w:rsidRPr="00C425BB">
        <w:rPr>
          <w:rFonts w:ascii="Times New Roman" w:hAnsi="Times New Roman" w:cs="Times New Roman"/>
          <w:lang w:val="en-GB"/>
        </w:rPr>
        <w:t xml:space="preserve">Article 10(2)(h) requires that a credit agreement specify, in a clear and concise manner, the amount, number and frequency of payments to be made by the consumer. The objective of that provision is to ensure that the consumer knows with certainty the date on which each payment falls due. It does not, however, require that the agreement individually enumerate each payment by reference to a specific calendar date. Where the terms of the agreement allow the consumer to ascertain the payment dates without difficulty and with certainty — for example, by reference to objective criteria </w:t>
      </w:r>
      <w:commentRangeStart w:id="10"/>
      <w:r w:rsidRPr="00C425BB">
        <w:rPr>
          <w:rFonts w:ascii="Times New Roman" w:hAnsi="Times New Roman" w:cs="Times New Roman"/>
          <w:lang w:val="en-GB"/>
        </w:rPr>
        <w:t xml:space="preserve">such as a recurring monthly due date </w:t>
      </w:r>
      <w:commentRangeEnd w:id="10"/>
      <w:r w:rsidR="00DD1843" w:rsidRPr="00C425BB">
        <w:rPr>
          <w:rStyle w:val="CommentReference"/>
          <w:rFonts w:ascii="Times New Roman" w:hAnsi="Times New Roman" w:cs="Times New Roman"/>
          <w:sz w:val="24"/>
          <w:szCs w:val="24"/>
          <w:lang w:val="en-GB"/>
        </w:rPr>
        <w:commentReference w:id="10"/>
      </w:r>
      <w:r w:rsidRPr="00C425BB">
        <w:rPr>
          <w:rFonts w:ascii="Times New Roman" w:hAnsi="Times New Roman" w:cs="Times New Roman"/>
          <w:lang w:val="en-GB"/>
        </w:rPr>
        <w:t>fixed by reference to the date of signature — that objective is fully attained. Information satisfying Article 10(2)(h) may, moreover, be contained in a separate document to which the signed credit agreement refers, subject to the durable medium requirement being satisfied by that ancillary document.</w:t>
      </w:r>
      <w:r w:rsidR="00750989">
        <w:rPr>
          <w:rFonts w:ascii="Times New Roman" w:hAnsi="Times New Roman" w:cs="Times New Roman"/>
          <w:lang w:val="en-GB"/>
        </w:rPr>
        <w:t xml:space="preserve"> </w:t>
      </w:r>
      <w:r w:rsidRPr="00C425BB">
        <w:rPr>
          <w:rFonts w:ascii="Times New Roman" w:hAnsi="Times New Roman" w:cs="Times New Roman"/>
          <w:lang w:val="en-GB"/>
        </w:rPr>
        <w:t xml:space="preserve">Article 10(2)(h) obliges the parties to include only the amount, number and frequency of payments in the credit agreement, together with — where applicable — the allocation order for different balances. Article 10(2)(i), read in conjunction with Article 10(3), provides that a consumer may, at any time during the life of a fixed-term credit agreement providing for capital amortisation, request a statement of account in the form of an amortisation table free of charge; that provision expressly confines this to an on-request obligation rather than an obligation to include the table in the agreement itself. It follows that </w:t>
      </w:r>
      <w:r w:rsidRPr="00C425BB">
        <w:rPr>
          <w:rFonts w:ascii="Times New Roman" w:hAnsi="Times New Roman" w:cs="Times New Roman"/>
          <w:lang w:val="en-GB"/>
        </w:rPr>
        <w:lastRenderedPageBreak/>
        <w:t xml:space="preserve">Directive 2008/48 does not impose any obligation to incorporate an amortisation table into the credit agreement. Since Article 10(2) constitutes a fully harmonised provision governing the information that must imperatively appear in a credit agreement, Member States may not, by virtue of Article 22(1), impose by national law any additional obligation requiring such a table to be included in the agreement. </w:t>
      </w:r>
      <w:commentRangeStart w:id="11"/>
      <w:commentRangeStart w:id="12"/>
      <w:r w:rsidRPr="00C425BB">
        <w:rPr>
          <w:rFonts w:ascii="Times New Roman" w:hAnsi="Times New Roman" w:cs="Times New Roman"/>
          <w:lang w:val="en-GB"/>
        </w:rPr>
        <w:t>Article 10(2)(u), which requires that other agreed contractual terms and conditions be included in the agreement, cannot be read as a gateway permitting Member States to mandate information beyond that exhaustively listed in Article 10(2).</w:t>
      </w:r>
      <w:commentRangeEnd w:id="11"/>
      <w:r w:rsidR="00DD1843">
        <w:rPr>
          <w:rStyle w:val="CommentReference"/>
          <w:rFonts w:ascii="Times New Roman" w:hAnsi="Times New Roman" w:cs="Times New Roman"/>
          <w:sz w:val="24"/>
          <w:szCs w:val="24"/>
          <w:lang w:val="en-GB"/>
        </w:rPr>
        <w:commentReference w:id="11"/>
      </w:r>
      <w:commentRangeEnd w:id="12"/>
      <w:r w:rsidR="00DD1843">
        <w:rPr>
          <w:rStyle w:val="CommentReference"/>
          <w:rFonts w:ascii="Times New Roman" w:hAnsi="Times New Roman" w:cs="Times New Roman"/>
          <w:sz w:val="24"/>
          <w:szCs w:val="24"/>
          <w:lang w:val="en-GB"/>
        </w:rPr>
        <w:commentReference w:id="12"/>
      </w:r>
      <w:r w:rsidR="00750989">
        <w:rPr>
          <w:rFonts w:ascii="Times New Roman" w:hAnsi="Times New Roman" w:cs="Times New Roman"/>
          <w:lang w:val="en-GB"/>
        </w:rPr>
        <w:t xml:space="preserve"> </w:t>
      </w:r>
      <w:r w:rsidRPr="00C425BB">
        <w:rPr>
          <w:rFonts w:ascii="Times New Roman" w:hAnsi="Times New Roman" w:cs="Times New Roman"/>
          <w:lang w:val="en-GB"/>
        </w:rPr>
        <w:t xml:space="preserve">Under Article 23, Member States must lay down penalties for infringements of national provisions implementing Directive 2008/48 that are effective, proportionate and dissuasive. The severity of a penalty must be commensurate with the seriousness of the infringement, having regard to the genuine deterrent effect required. A national law providing that a credit agreement is deemed interest-free and free of charges where it fails to include information required by Article 10(2) is compatible with Article 23, provided that the omitted information is of a kind that may compromise the consumer's ability to assess the extent of his liability — such as the annual percentage rate of charge, the number and frequency of payments, or charges for sureties and insurance. Conversely, the imposition of so severe a penalty for omission of information that by its nature cannot affect the consumer's assessment of his liability — such as the name and address of the competent supervisory authority under </w:t>
      </w:r>
      <w:commentRangeStart w:id="13"/>
      <w:r w:rsidRPr="00C425BB">
        <w:rPr>
          <w:rFonts w:ascii="Times New Roman" w:hAnsi="Times New Roman" w:cs="Times New Roman"/>
          <w:lang w:val="en-GB"/>
        </w:rPr>
        <w:t>Article 10(2)(v) — cannot be considered proportionate</w:t>
      </w:r>
      <w:commentRangeEnd w:id="13"/>
      <w:r w:rsidR="00DD1843" w:rsidRPr="00C425BB">
        <w:rPr>
          <w:rStyle w:val="CommentReference"/>
          <w:rFonts w:ascii="Times New Roman" w:hAnsi="Times New Roman" w:cs="Times New Roman"/>
          <w:sz w:val="24"/>
          <w:szCs w:val="24"/>
          <w:lang w:val="en-GB"/>
        </w:rPr>
        <w:commentReference w:id="13"/>
      </w:r>
      <w:r w:rsidRPr="00C425BB">
        <w:rPr>
          <w:rFonts w:ascii="Times New Roman" w:hAnsi="Times New Roman" w:cs="Times New Roman"/>
          <w:lang w:val="en-GB"/>
        </w:rPr>
        <w:t>. The proportionality assessment therefore requires a differentiated, item-by-item evaluation of whether the absent information is material to the consumer's understanding of his financial obligations.</w:t>
      </w:r>
    </w:p>
    <w:p w14:paraId="4D383812" w14:textId="77777777" w:rsidR="00C425BB" w:rsidRDefault="00C425BB">
      <w:pPr>
        <w:rPr>
          <w:rFonts w:ascii="Times New Roman" w:hAnsi="Times New Roman" w:cs="Times New Roman"/>
          <w:lang w:val="en-GB"/>
        </w:rPr>
      </w:pPr>
    </w:p>
    <w:p w14:paraId="01B65337" w14:textId="6D7C1B82" w:rsidR="002A6335" w:rsidRPr="00C425BB" w:rsidRDefault="002A6335">
      <w:pPr>
        <w:rPr>
          <w:rFonts w:ascii="Times New Roman" w:hAnsi="Times New Roman" w:cs="Times New Roman"/>
          <w:lang w:val="en-GB"/>
        </w:rPr>
      </w:pPr>
      <w:r w:rsidRPr="00C425BB">
        <w:rPr>
          <w:rFonts w:ascii="Times New Roman" w:hAnsi="Times New Roman" w:cs="Times New Roman"/>
          <w:lang w:val="en-GB"/>
        </w:rPr>
        <w:t>CLAUDE 2</w:t>
      </w:r>
    </w:p>
    <w:p w14:paraId="407542AA"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3(m) — Definition of 'durable medium'</w:t>
      </w:r>
    </w:p>
    <w:p w14:paraId="7580F301" w14:textId="779CEA2B"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The Court confirmed that the concept of 'durable medium', as defined in Article 3(m) of Directive 2008/48, requires any instrument used to convey credit agreement information to enable the consumer, in a manner analogous to paper form, to store information addressed personally to him, to rest assured that its content will not be altered, and to have that information accessible and reproducible in unchanged form for an adequate period. The Court, drawing on its earlier reasoning in Content Services (C-49/11), emphasised that what is decisive is not the physical form of the medium but whether it practically guarantees the consumer's ability to exercise his rights on the basis of the stored information.</w:t>
      </w:r>
      <w:r w:rsidR="00750989">
        <w:rPr>
          <w:rFonts w:ascii="Times New Roman" w:hAnsi="Times New Roman" w:cs="Times New Roman"/>
          <w:lang w:val="en-GB"/>
        </w:rPr>
        <w:t xml:space="preserve"> </w:t>
      </w:r>
      <w:r w:rsidRPr="00C425BB">
        <w:rPr>
          <w:rFonts w:ascii="Times New Roman" w:hAnsi="Times New Roman" w:cs="Times New Roman"/>
          <w:lang w:val="en-GB"/>
        </w:rPr>
        <w:t>The Court held that Article 10(1) does not require all mandatory information listed in Article 10(2) to be consolidated in a single document. A credit agreement may therefore be constituted by more than one document — including, for instance, a main agreement form and a separate set of general terms and conditions — provided that all information required under Article 10(2) is set out on paper or on another durable medium and that the main agreement contains a clear and precise cross-reference to any supplementary document in which part of that information is contained. The Court underscored that such cross-referencing must give the consumer a genuine opportunity to be apprised of all his rights and obligations prior to being bound.</w:t>
      </w:r>
      <w:r w:rsidR="00750989">
        <w:rPr>
          <w:rFonts w:ascii="Times New Roman" w:hAnsi="Times New Roman" w:cs="Times New Roman"/>
          <w:lang w:val="en-GB"/>
        </w:rPr>
        <w:t xml:space="preserve"> </w:t>
      </w:r>
      <w:r w:rsidRPr="00C425BB">
        <w:rPr>
          <w:rFonts w:ascii="Times New Roman" w:hAnsi="Times New Roman" w:cs="Times New Roman"/>
          <w:lang w:val="en-GB"/>
        </w:rPr>
        <w:t xml:space="preserve">With regard to the requirement of signature, the Court observed that the term 'paper' in Article </w:t>
      </w:r>
      <w:r w:rsidRPr="00C425BB">
        <w:rPr>
          <w:rFonts w:ascii="Times New Roman" w:hAnsi="Times New Roman" w:cs="Times New Roman"/>
          <w:lang w:val="en-GB"/>
        </w:rPr>
        <w:lastRenderedPageBreak/>
        <w:t>10(1) refers solely to the medium on which the agreement is drawn up and does not, of itself, impose any signature requirement. The terms 'paper' and 'durable medium' carry an autonomous meaning under EU law and cannot be construed by reference to national law governing formality requirements. However, pursuant to the second subparagraph of Article 10(1), that provision is expressly without prejudice to national rules concerning the validity of the conclusion of credit agreements that are in conformity with EU law. Accordingly, a Member State may lawfully require, as a condition of validity, that a credit agreement drawn up on paper be signed by the parties, and may further provide that such signature requirement applies to all the details that must feature in the agreement pursuant to Article 10(2). Neither Directive 2008/48 nor EU law in general precludes such national requirements.</w:t>
      </w:r>
    </w:p>
    <w:p w14:paraId="6EF76924" w14:textId="77777777" w:rsidR="00C425BB" w:rsidRPr="00C425BB" w:rsidRDefault="00C425BB" w:rsidP="00C425BB">
      <w:pPr>
        <w:rPr>
          <w:rFonts w:ascii="Times New Roman" w:hAnsi="Times New Roman" w:cs="Times New Roman"/>
          <w:lang w:val="en-GB"/>
        </w:rPr>
      </w:pPr>
    </w:p>
    <w:p w14:paraId="24898CFB"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Articles 10(2)(h) and (i) — Payment schedule and amortisation table</w:t>
      </w:r>
    </w:p>
    <w:p w14:paraId="32693F88" w14:textId="452CF485" w:rsidR="002A6335" w:rsidRPr="00C425BB" w:rsidRDefault="00C425BB" w:rsidP="00C425BB">
      <w:pPr>
        <w:rPr>
          <w:rFonts w:ascii="Times New Roman" w:hAnsi="Times New Roman" w:cs="Times New Roman"/>
          <w:lang w:val="en-GB"/>
        </w:rPr>
      </w:pPr>
      <w:r w:rsidRPr="00C425BB">
        <w:rPr>
          <w:rFonts w:ascii="Times New Roman" w:hAnsi="Times New Roman" w:cs="Times New Roman"/>
          <w:lang w:val="en-GB"/>
        </w:rPr>
        <w:t>Concerning the 'frequency of payments' required under Article 10(2)(h), the Court held that a credit agreement need not specify the exact calendar date on which each individual payment falls due. It is sufficient that the terms of the agreement allow the consumer to ascertain those dates without difficulty and with certainty — for example, by reference to objectively determinable criteria such as a fixed day of each calendar month following a defined starting point. The purpose of the provision is to ensure that the consumer has reliable knowledge of when each payment obligation arises; that purpose is fulfilled where such certainty is achievable from the agreement's terms without requiring further enquiry.</w:t>
      </w:r>
      <w:r w:rsidR="00750989">
        <w:rPr>
          <w:rFonts w:ascii="Times New Roman" w:hAnsi="Times New Roman" w:cs="Times New Roman"/>
          <w:lang w:val="en-GB"/>
        </w:rPr>
        <w:t xml:space="preserve"> </w:t>
      </w:r>
      <w:r w:rsidRPr="00C425BB">
        <w:rPr>
          <w:rFonts w:ascii="Times New Roman" w:hAnsi="Times New Roman" w:cs="Times New Roman"/>
          <w:lang w:val="en-GB"/>
        </w:rPr>
        <w:t>As regards the obligation to include an amortisation table, the Court held that Article 10(2)(i), read together with Article 10(3), unambiguously establishes that the creditor is only obliged to make a statement of account in the form of an amortisation table available to the consumer on request, free of charge, at any time during the agreement's duration. The directive does not impose a positive obligation to incorporate such a table into the credit agreement at the time of its conclusion. Furthermore, by virtue of Article 22(1), which gives full and mandatory harmonising effect to the provisions of Directive 2008/48, a Member State may not, in the area covered by Article 10(2), introduce obligations beyond those expressly provided for in the directive. A national rule requiring the inclusion of a full amortisation table in the agreement itself therefore exceeds what the directive permits and is precluded.</w:t>
      </w:r>
      <w:r w:rsidR="00750989">
        <w:rPr>
          <w:rFonts w:ascii="Times New Roman" w:hAnsi="Times New Roman" w:cs="Times New Roman"/>
          <w:lang w:val="en-GB"/>
        </w:rPr>
        <w:t xml:space="preserve"> </w:t>
      </w:r>
      <w:r w:rsidRPr="00C425BB">
        <w:rPr>
          <w:rFonts w:ascii="Times New Roman" w:hAnsi="Times New Roman" w:cs="Times New Roman"/>
          <w:lang w:val="en-GB"/>
        </w:rPr>
        <w:t>The Court held that Article 23 of Directive 2008/48 does not preclude a Member State from providing, as a penalty for failure to include mandatory information in a credit agreement, that the credit is deemed to be interest-free and free of charges. Such a penalty — entailing forfeiture by the creditor of entitlement to interest and charges — may be proportionate within the meaning of Article 23, provided the omitted information is of a nature that may compromise the consumer's ability to assess the extent of his liability. The Court confirmed that obligations to disclose the annual percentage rate, the number and frequency of payments, applicable fees, and required sureties or insurance fall within this category and may therefore attract that sanction.</w:t>
      </w:r>
      <w:r w:rsidR="00750989">
        <w:rPr>
          <w:rFonts w:ascii="Times New Roman" w:hAnsi="Times New Roman" w:cs="Times New Roman"/>
          <w:lang w:val="en-GB"/>
        </w:rPr>
        <w:t xml:space="preserve"> </w:t>
      </w:r>
      <w:r w:rsidRPr="00C425BB">
        <w:rPr>
          <w:rFonts w:ascii="Times New Roman" w:hAnsi="Times New Roman" w:cs="Times New Roman"/>
          <w:lang w:val="en-GB"/>
        </w:rPr>
        <w:t xml:space="preserve">However, the Court introduced an important qualification grounded in the principle of proportionality: the imposition of such a serious penalty cannot be considered proportionate where the omitted information, by its very nature, has no bearing on the consumer's ability to assess the extent of his liability. The Court cited the name and address </w:t>
      </w:r>
      <w:r w:rsidRPr="00C425BB">
        <w:rPr>
          <w:rFonts w:ascii="Times New Roman" w:hAnsi="Times New Roman" w:cs="Times New Roman"/>
          <w:lang w:val="en-GB"/>
        </w:rPr>
        <w:lastRenderedPageBreak/>
        <w:t>of the competent supervisory authority under Article 10(2)(v) as an illustrative example of information whose omission could not justify forfeiture of the creditor's entire entitlement to interest and charges. Member States must therefore ensure that the penalty is calibrated to the materiality of the omitted information in relation to the consumer's informed decision-making.</w:t>
      </w:r>
    </w:p>
    <w:p w14:paraId="2C540C8A" w14:textId="0D9269AF" w:rsidR="002A6335" w:rsidRPr="00C425BB" w:rsidRDefault="002A6335">
      <w:pPr>
        <w:rPr>
          <w:rFonts w:ascii="Times New Roman" w:hAnsi="Times New Roman" w:cs="Times New Roman"/>
          <w:lang w:val="en-GB"/>
        </w:rPr>
      </w:pPr>
      <w:r w:rsidRPr="00C425BB">
        <w:rPr>
          <w:rFonts w:ascii="Times New Roman" w:hAnsi="Times New Roman" w:cs="Times New Roman"/>
          <w:lang w:val="en-GB"/>
        </w:rPr>
        <w:t xml:space="preserve">CLAUDE 3 </w:t>
      </w:r>
    </w:p>
    <w:p w14:paraId="359890FD"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3(m) — Definition of 'Durable Medium'</w:t>
      </w:r>
    </w:p>
    <w:p w14:paraId="01431069" w14:textId="544397C8"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The Court reaffirmed that the concept of 'durable medium', as defined in Article 3(m) of Directive 2008/48, refers to any instrument enabling the consumer to store information addressed to him personally in a manner accessible for future reference over an adequate period and allowing unchanged reproduction of that information. Consistent with the Court's earlier jurisprudence concerning Directive 97/7/EC (Content Services, C-49/11), the essential requirement is that the consumer be placed in a position to store, verify, and reproduce the information without alteration. This definition operates autonomously from national law and cannot be qualified by reference to domestic formal requirements.</w:t>
      </w:r>
      <w:r w:rsidR="00750989">
        <w:rPr>
          <w:rFonts w:ascii="Times New Roman" w:hAnsi="Times New Roman" w:cs="Times New Roman"/>
          <w:lang w:val="en-GB"/>
        </w:rPr>
        <w:t xml:space="preserve"> </w:t>
      </w:r>
      <w:r w:rsidRPr="00C425BB">
        <w:rPr>
          <w:rFonts w:ascii="Times New Roman" w:hAnsi="Times New Roman" w:cs="Times New Roman"/>
          <w:lang w:val="en-GB"/>
        </w:rPr>
        <w:t>The Court held that Article 10(1) and (2), read in conjunction with Article 3(m), does not require all mandatory information to be contained in a single document. However, all information enumerated in Article 10(2) must be set out on paper or on another durable medium and incorporated into the credit agreement. Where information is contained in a separate document, the credit agreement itself must contain a clear and precise cross-reference to that document, ensuring the consumer has been genuinely apprised of all his rights and obligations prior to conclusion of the agreement.</w:t>
      </w:r>
      <w:r w:rsidR="003A05DC">
        <w:rPr>
          <w:rFonts w:ascii="Times New Roman" w:hAnsi="Times New Roman" w:cs="Times New Roman"/>
          <w:lang w:val="en-GB"/>
        </w:rPr>
        <w:t xml:space="preserve"> </w:t>
      </w:r>
      <w:r w:rsidRPr="00C425BB">
        <w:rPr>
          <w:rFonts w:ascii="Times New Roman" w:hAnsi="Times New Roman" w:cs="Times New Roman"/>
          <w:lang w:val="en-GB"/>
        </w:rPr>
        <w:t>As regards the requirement of signature, the Court observed that the term 'paper' in Article 10(1) refers exclusively to the medium on which the agreement is drawn up and does not, of itself, impose any requirement of signature. That term has an autonomous meaning independent of national law. Nevertheless, Article 10(1), second subparagraph, expressly preserves national rules concerning the validity of credit agreements in conformity with EU law. Accordingly, a Member State may lawfully require, as a condition of validity, that a credit agreement drawn up on paper be signed by the parties, and may further extend that requirement to all information mandatorily included in the agreement pursuant to Article 10(2). Neither Directive 2008/48 nor EU law in general precludes such requirements.</w:t>
      </w:r>
    </w:p>
    <w:p w14:paraId="04D94086" w14:textId="77777777" w:rsidR="00C425BB" w:rsidRPr="00C425BB" w:rsidRDefault="00C425BB" w:rsidP="00C425BB">
      <w:pPr>
        <w:rPr>
          <w:rFonts w:ascii="Times New Roman" w:hAnsi="Times New Roman" w:cs="Times New Roman"/>
          <w:lang w:val="en-GB"/>
        </w:rPr>
      </w:pPr>
    </w:p>
    <w:p w14:paraId="1D8D06E3"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10(2)(h) and (i) — Payment Schedules and Amortisation Tables</w:t>
      </w:r>
    </w:p>
    <w:p w14:paraId="57589D31" w14:textId="5C6EA2C4" w:rsidR="002A6335" w:rsidRPr="00C425BB" w:rsidRDefault="00C425BB" w:rsidP="00C425BB">
      <w:pPr>
        <w:rPr>
          <w:rFonts w:ascii="Times New Roman" w:hAnsi="Times New Roman" w:cs="Times New Roman"/>
          <w:lang w:val="en-GB"/>
        </w:rPr>
      </w:pPr>
      <w:r w:rsidRPr="00C425BB">
        <w:rPr>
          <w:rFonts w:ascii="Times New Roman" w:hAnsi="Times New Roman" w:cs="Times New Roman"/>
          <w:lang w:val="en-GB"/>
        </w:rPr>
        <w:t>On the interpretation of Article 10(2)(h), the Court held that a credit agreement is not required to specify the precise calendar date on which each individual payment falls due. It is sufficient that the terms of the agreement enable the consumer to ascertain those dates without difficulty and with certainty by reference to objectively determinable criteria — for example, by stipulating that monthly instalments are due by the fifteenth day of each calendar month or one month after each preceding payment. The objective of the provision is to ensure that the consumer can reliably identify payment dates; where that objective is achieved by general reference to ascertainable criteria, the provision is satisfied.</w:t>
      </w:r>
      <w:r>
        <w:rPr>
          <w:rFonts w:ascii="Times New Roman" w:hAnsi="Times New Roman" w:cs="Times New Roman"/>
          <w:lang w:val="en-GB"/>
        </w:rPr>
        <w:t xml:space="preserve"> </w:t>
      </w:r>
      <w:r w:rsidRPr="00C425BB">
        <w:rPr>
          <w:rFonts w:ascii="Times New Roman" w:hAnsi="Times New Roman" w:cs="Times New Roman"/>
          <w:lang w:val="en-GB"/>
        </w:rPr>
        <w:t xml:space="preserve">As regards Article </w:t>
      </w:r>
      <w:r w:rsidRPr="00C425BB">
        <w:rPr>
          <w:rFonts w:ascii="Times New Roman" w:hAnsi="Times New Roman" w:cs="Times New Roman"/>
          <w:lang w:val="en-GB"/>
        </w:rPr>
        <w:lastRenderedPageBreak/>
        <w:t>10(2)(i), the Court found that Directive 2008/48 imposes no obligation to include a full amortisation table within the credit agreement itself. The right to receive such a statement is conferred upon the consumer only on request and at any time during the duration of the agreement, as provided for in Articles 10(2)(i) and 10(3). The information requirements of Article 10(2) constitute a fully harmonised field and, pursuant to Article 22(1), Member States may not impose obligations beyond those provided for in the directive in areas it has harmonised. A national rule requiring the inclusion of an amortisation table in the credit agreement itself is therefore precluded.</w:t>
      </w:r>
      <w:r>
        <w:rPr>
          <w:rFonts w:ascii="Times New Roman" w:hAnsi="Times New Roman" w:cs="Times New Roman"/>
          <w:lang w:val="en-GB"/>
        </w:rPr>
        <w:t xml:space="preserve"> </w:t>
      </w:r>
      <w:r w:rsidRPr="00C425BB">
        <w:rPr>
          <w:rFonts w:ascii="Times New Roman" w:hAnsi="Times New Roman" w:cs="Times New Roman"/>
          <w:lang w:val="en-GB"/>
        </w:rPr>
        <w:t>The Court held that Article 23, which requires Member States to establish penalties that are effective, proportionate, and dissuasive, does not preclude a national provision under which failure to include mandatory information in a credit agreement results in the agreement being deemed interest-free and free of charges, with the consequence that the borrower is obliged to repay only the capital received. Such a penalty is proportionate provided that the omitted information relates to matters which, if absent, may compromise the consumer's ability to assess the extent of his liability — such as the annual percentage rate of charge, the number and frequency of payments, applicable sureties, and notarial fee obligations.</w:t>
      </w:r>
      <w:r w:rsidR="003A05DC">
        <w:rPr>
          <w:rFonts w:ascii="Times New Roman" w:hAnsi="Times New Roman" w:cs="Times New Roman"/>
          <w:lang w:val="en-GB"/>
        </w:rPr>
        <w:t xml:space="preserve"> </w:t>
      </w:r>
      <w:r w:rsidRPr="00C425BB">
        <w:rPr>
          <w:rFonts w:ascii="Times New Roman" w:hAnsi="Times New Roman" w:cs="Times New Roman"/>
          <w:lang w:val="en-GB"/>
        </w:rPr>
        <w:t>However, the Court drew a material distinction: the imposition of that same severe penalty for the omission of information which, by its nature, cannot affect the consumer's assessment of his liability — such as the name and address of the competent supervisory authority under Article 10(2)(v) — would not satisfy the proportionality requirement. The severity of penalties must remain commensurate with the seriousness of the infringement, consistently with the principle of proportionality and the Court's earlier reasoning in LCL Le Crédit Lyonnais (C-565/12).</w:t>
      </w:r>
    </w:p>
    <w:p w14:paraId="184568D3" w14:textId="08CB99B9" w:rsidR="002A6335" w:rsidRPr="00C425BB" w:rsidRDefault="002A6335">
      <w:pPr>
        <w:rPr>
          <w:rFonts w:ascii="Times New Roman" w:hAnsi="Times New Roman" w:cs="Times New Roman"/>
          <w:lang w:val="en-GB"/>
        </w:rPr>
      </w:pPr>
      <w:r w:rsidRPr="00C425BB">
        <w:rPr>
          <w:rFonts w:ascii="Times New Roman" w:hAnsi="Times New Roman" w:cs="Times New Roman"/>
          <w:lang w:val="en-GB"/>
        </w:rPr>
        <w:t>CLUADE 4</w:t>
      </w:r>
    </w:p>
    <w:p w14:paraId="65F3964E"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3(m) and Article 10(1) — 'Paper' and 'Durable Medium': Form Requirements and the Single-Document Question</w:t>
      </w:r>
    </w:p>
    <w:p w14:paraId="63EB72D8" w14:textId="5C66D50C"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Directive 2008/48/EC does not require that a consumer credit agreement be contained within a single document. However, all information enumerated under Article 10(2) must, without exception, be set out on paper or on another durable medium and incorporated into the credit agreement. Where some of that information is contained in a document separate from the main agreement — such as general terms and conditions — the agreement itself must include a clear and precise cross-reference to that separate document, provided it was actually given to the consumer prior to conclusion of the agreement, so as to genuinely apprise the consumer of all rights and obligations.</w:t>
      </w:r>
      <w:r>
        <w:rPr>
          <w:rFonts w:ascii="Times New Roman" w:hAnsi="Times New Roman" w:cs="Times New Roman"/>
          <w:lang w:val="en-GB"/>
        </w:rPr>
        <w:t xml:space="preserve"> </w:t>
      </w:r>
      <w:r w:rsidRPr="00C425BB">
        <w:rPr>
          <w:rFonts w:ascii="Times New Roman" w:hAnsi="Times New Roman" w:cs="Times New Roman"/>
          <w:lang w:val="en-GB"/>
        </w:rPr>
        <w:t>The terms 'paper' and 'durable medium' in Article 10(1) carry an autonomous meaning under EU law and cannot be defined by reference to national law governing the formal validity of credit agreements. Whereas 'paper' denotes the physical medium without imposing any signature requirement on its face, the second subparagraph of Article 10(1) expressly preserves national rules on the validity of the conclusion of credit agreements that are in conformity with EU law. Accordingly, neither Directive 2008/48 nor EU law in general precludes a Member State from requiring, as a condition of validity, that a credit agreement drawn up on paper be signed by the parties and that the signature requirement extend to all details specified in Article 10(2).</w:t>
      </w:r>
    </w:p>
    <w:p w14:paraId="5AA1BCD5" w14:textId="77777777" w:rsidR="00C425BB" w:rsidRPr="00C425BB" w:rsidRDefault="00C425BB" w:rsidP="00C425BB">
      <w:pPr>
        <w:rPr>
          <w:rFonts w:ascii="Times New Roman" w:hAnsi="Times New Roman" w:cs="Times New Roman"/>
          <w:lang w:val="en-GB"/>
        </w:rPr>
      </w:pPr>
    </w:p>
    <w:p w14:paraId="09D61498"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10(2)(h) — Frequency of Payments: Specific Dates versus Objective Criteria</w:t>
      </w:r>
    </w:p>
    <w:p w14:paraId="57218E95" w14:textId="3D321C31" w:rsidR="002A6335"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10(2)(h) requires a credit agreement to specify in a clear and concise manner the amount, number, and frequency of payments to be made by the consumer. The objective of this provision is to ensure that the consumer knows the date on which each payment falls due. That objective is attained where the terms of the agreement enable the consumer to ascertain those dates without difficulty and with certainty, even if each specific calendar date is not individually enumerated. A general reference to objectively ascertainable criteria — such as a stipulation that monthly instalments are due by a fixed day of each calendar month following signature — is therefore sufficient to satisfy the requirement of Article 10(2)(h), provided such criteria allow the consumer to determine payment dates with the requisite degree of certainty.</w:t>
      </w:r>
      <w:r>
        <w:rPr>
          <w:rFonts w:ascii="Times New Roman" w:hAnsi="Times New Roman" w:cs="Times New Roman"/>
          <w:lang w:val="en-GB"/>
        </w:rPr>
        <w:t xml:space="preserve"> </w:t>
      </w:r>
      <w:r w:rsidRPr="00C425BB">
        <w:rPr>
          <w:rFonts w:ascii="Times New Roman" w:hAnsi="Times New Roman" w:cs="Times New Roman"/>
          <w:lang w:val="en-GB"/>
        </w:rPr>
        <w:t>A fixed-term credit agreement providing for amortisation of capital in consecutive instalments is not required, under Article 10(2)(h), to indicate the breakdown of each instalment as between capital repayment and interest. Article 10(2)(h) mandates only the amount, number, and frequency of payments and, where applicable, the allocation order among balances charged at different rates. The right of the consumer under Article 10(2)(i) and Article 10(3) to receive, on request and free of charge at any time during the agreement, a statement of account in the form of an amortisation table constitutes a separate, conditional obligation on the creditor, which by its express terms does not translate into a duty to incorporate such a table into the agreement at conclusion.</w:t>
      </w:r>
      <w:r>
        <w:rPr>
          <w:rFonts w:ascii="Times New Roman" w:hAnsi="Times New Roman" w:cs="Times New Roman"/>
          <w:lang w:val="en-GB"/>
        </w:rPr>
        <w:t xml:space="preserve"> </w:t>
      </w:r>
      <w:r w:rsidRPr="00C425BB">
        <w:rPr>
          <w:rFonts w:ascii="Times New Roman" w:hAnsi="Times New Roman" w:cs="Times New Roman"/>
          <w:lang w:val="en-GB"/>
        </w:rPr>
        <w:t>Since Article 10(2) constitutes a harmonised provision governing the information imperatively to be included in a credit agreement, Member States may not, pursuant to Article 22(1), impose additional obligations requiring inclusion of an amortisation table in the agreement itself. Article 10(2)(u), which requires inclusion of other agreed contractual terms and conditions, cannot be interpreted as a basis for Member States to mandate information beyond that prescribed by Article 10(2); its purpose is solely to ensure that all terms actually agreed between the parties appear in the agreement on a durable medium.</w:t>
      </w:r>
      <w:r>
        <w:rPr>
          <w:rFonts w:ascii="Times New Roman" w:hAnsi="Times New Roman" w:cs="Times New Roman"/>
          <w:lang w:val="en-GB"/>
        </w:rPr>
        <w:t xml:space="preserve"> </w:t>
      </w:r>
      <w:r w:rsidRPr="00C425BB">
        <w:rPr>
          <w:rFonts w:ascii="Times New Roman" w:hAnsi="Times New Roman" w:cs="Times New Roman"/>
          <w:lang w:val="en-GB"/>
        </w:rPr>
        <w:t>Article 23 of Directive 2008/48 confers discretion on Member States to determine penalties for infringements of national provisions implementing the directive, subject to the requirement that such penalties be effective, proportionate, and dissuasive. The severity of a penalty must be commensurate with the seriousness of the infringement, assessed by reference to whether the omitted information may compromise the consumer's ability to assess the extent of his liability. A national rule providing that a credit agreement which omits information of this nature is deemed interest-free and free of charges — thereby causing the creditor to forfeit entitlement to interest and charges entirely — is proportionate within the meaning of Article 23. Conversely, the imposition of that same sanction for failure to include information that, by its nature, cannot bear on the consumer's assessment of liability — such as the name and address of the competent supervisory authority under Article 10(2)(v) — cannot be considered proportionate. The penalty of forfeiture is accordingly permissible only where the missing information is of a kind that is vitally important to the consumer's understanding of the financial obligations undertaken, including, in particular, the annual percentage rate of charge, the number and frequency of payments, and applicable sureties and insurance requirements.</w:t>
      </w:r>
    </w:p>
    <w:p w14:paraId="7A80EB56" w14:textId="77777777" w:rsidR="00C425BB" w:rsidRPr="009530EC" w:rsidRDefault="00C425BB">
      <w:pPr>
        <w:rPr>
          <w:rFonts w:ascii="Times New Roman" w:hAnsi="Times New Roman" w:cs="Times New Roman"/>
          <w:lang w:val="en-US"/>
        </w:rPr>
      </w:pPr>
    </w:p>
    <w:p w14:paraId="7B9BB06B" w14:textId="77777777" w:rsidR="00C425BB" w:rsidRPr="009530EC" w:rsidRDefault="00C425BB">
      <w:pPr>
        <w:rPr>
          <w:rFonts w:ascii="Times New Roman" w:hAnsi="Times New Roman" w:cs="Times New Roman"/>
          <w:lang w:val="en-US"/>
        </w:rPr>
      </w:pPr>
    </w:p>
    <w:p w14:paraId="5248A215" w14:textId="3ED1399A" w:rsidR="002A6335" w:rsidRPr="009530EC" w:rsidRDefault="002A6335">
      <w:pPr>
        <w:rPr>
          <w:rFonts w:ascii="Times New Roman" w:hAnsi="Times New Roman" w:cs="Times New Roman"/>
          <w:lang w:val="en-US"/>
        </w:rPr>
      </w:pPr>
      <w:r w:rsidRPr="009530EC">
        <w:rPr>
          <w:rFonts w:ascii="Times New Roman" w:hAnsi="Times New Roman" w:cs="Times New Roman"/>
          <w:lang w:val="en-US"/>
        </w:rPr>
        <w:t>CLAUDE 5</w:t>
      </w:r>
    </w:p>
    <w:p w14:paraId="67FC58A6"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3(m) and Article 10(1) and (2) — Form of the credit agreement and incorporation of information by reference</w:t>
      </w:r>
    </w:p>
    <w:p w14:paraId="2EE0200F" w14:textId="5C07CC55"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10(1) of Directive 2008/48 requires that credit agreements be drawn up on paper or on another durable medium, but does not require that all mandatory information be contained in a single document. The Court confirmed that the information listed in Article 10(2) may be set out across multiple documents, provided that every item of that information is nonetheless embodied on paper or on a durable medium and incorporated into the credit agreement. Where some of that information is contained in a separate document — such as general terms and conditions — to which the signed agreement refers, the credit agreement must contain a clear and precise cross-reference to that separate document in order to afford the consumer a genuine opportunity to be apprised of all his rights and obligations.</w:t>
      </w:r>
      <w:r>
        <w:rPr>
          <w:rFonts w:ascii="Times New Roman" w:hAnsi="Times New Roman" w:cs="Times New Roman"/>
          <w:lang w:val="en-GB"/>
        </w:rPr>
        <w:t xml:space="preserve"> </w:t>
      </w:r>
      <w:r w:rsidRPr="00C425BB">
        <w:rPr>
          <w:rFonts w:ascii="Times New Roman" w:hAnsi="Times New Roman" w:cs="Times New Roman"/>
          <w:lang w:val="en-GB"/>
        </w:rPr>
        <w:t>The Court further clarified that the term "paper" in Article 10(1) has an autonomous meaning under EU law and does not import any requirement of signature derived from national law. Article 10(1) merely designates the medium on which the agreement must be drawn up. However, the second subparagraph of Article 10(1) expressly preserves national rules concerning the validity of the conclusion of credit agreements which are in conformity with EU law. A Member State may therefore lawfully require, as a condition of validity, that a credit agreement drawn up on paper be signed by all contracting parties and that the signature requirement extend to all the information which Article 10(2) obliges the agreement to contain, provided such national rules are consistent with EU law. Neither Directive 2008/48 nor EU law generally precludes such requirements.</w:t>
      </w:r>
    </w:p>
    <w:p w14:paraId="673AA7E7" w14:textId="77777777" w:rsidR="00C425BB" w:rsidRPr="00C425BB" w:rsidRDefault="00C425BB" w:rsidP="00C425BB">
      <w:pPr>
        <w:rPr>
          <w:rFonts w:ascii="Times New Roman" w:hAnsi="Times New Roman" w:cs="Times New Roman"/>
          <w:lang w:val="en-GB"/>
        </w:rPr>
      </w:pPr>
    </w:p>
    <w:p w14:paraId="50483B8F" w14:textId="77777777" w:rsidR="00C425BB" w:rsidRPr="00C425BB" w:rsidRDefault="00C425BB" w:rsidP="00C425BB">
      <w:pPr>
        <w:rPr>
          <w:rFonts w:ascii="Times New Roman" w:hAnsi="Times New Roman" w:cs="Times New Roman"/>
          <w:lang w:val="en-GB"/>
        </w:rPr>
      </w:pPr>
      <w:r w:rsidRPr="00C425BB">
        <w:rPr>
          <w:rFonts w:ascii="Times New Roman" w:hAnsi="Times New Roman" w:cs="Times New Roman"/>
          <w:lang w:val="en-GB"/>
        </w:rPr>
        <w:t>Article 10(2)(h) — Frequency of payments and payment dates</w:t>
      </w:r>
    </w:p>
    <w:p w14:paraId="66C79516" w14:textId="535F35FD" w:rsidR="00286EF4" w:rsidRDefault="00C425BB" w:rsidP="00286EF4">
      <w:pPr>
        <w:rPr>
          <w:rFonts w:ascii="Times New Roman" w:hAnsi="Times New Roman" w:cs="Times New Roman"/>
          <w:lang w:val="en-GB"/>
        </w:rPr>
      </w:pPr>
      <w:r w:rsidRPr="00C425BB">
        <w:rPr>
          <w:rFonts w:ascii="Times New Roman" w:hAnsi="Times New Roman" w:cs="Times New Roman"/>
          <w:lang w:val="en-GB"/>
        </w:rPr>
        <w:t>Article 10(2)(h) requires a credit agreement to specify, in a clear and concise manner, the amount, number, and frequency of payments to be made by the consumer, and, where appropriate, the order in which payments will be allocated to different outstanding balances. The Court held that this provision does not oblige a creditor to state the specific calendar date on which each individual payment falls due. The objective of the provision — ensuring that the consumer knows when each payment obligation arises — is satisfied where the terms of the agreement enable the consumer to ascertain those dates without difficulty and with certainty. A reference to objectively determinable criteria, such as a clause providing that monthly instalments are due by a specified day of each calendar month following a fixed starting point, therefore meets the requirements of Article 10(2)(h).</w:t>
      </w:r>
      <w:r>
        <w:rPr>
          <w:rFonts w:ascii="Times New Roman" w:hAnsi="Times New Roman" w:cs="Times New Roman"/>
          <w:lang w:val="en-GB"/>
        </w:rPr>
        <w:t xml:space="preserve"> </w:t>
      </w:r>
      <w:r w:rsidRPr="00C425BB">
        <w:rPr>
          <w:rFonts w:ascii="Times New Roman" w:hAnsi="Times New Roman" w:cs="Times New Roman"/>
          <w:lang w:val="en-GB"/>
        </w:rPr>
        <w:t xml:space="preserve">The Court held that Article 10(2)(h) and (i), read together, do not impose an obligation to include an amortisation table — setting out the breakdown of each instalment between capital repayment and interest — in the credit agreement itself at the time of its conclusion. Article 10(2)(h) requires only the amount, number, and frequency of payments; Article 10(2)(i) and Article 10(3) provide </w:t>
      </w:r>
      <w:r w:rsidRPr="00C425BB">
        <w:rPr>
          <w:rFonts w:ascii="Times New Roman" w:hAnsi="Times New Roman" w:cs="Times New Roman"/>
          <w:lang w:val="en-GB"/>
        </w:rPr>
        <w:lastRenderedPageBreak/>
        <w:t>that a full amortisation table must be made available to the consumer on request, free of charge, throughout the duration of the agreement. The disclosure of the breakdown of instalments between principal and interest is therefore deferred to the consumer's request and need not appear in the contract itself</w:t>
      </w:r>
      <w:r>
        <w:rPr>
          <w:rFonts w:ascii="Times New Roman" w:hAnsi="Times New Roman" w:cs="Times New Roman"/>
          <w:lang w:val="en-GB"/>
        </w:rPr>
        <w:t xml:space="preserve">. </w:t>
      </w:r>
      <w:r w:rsidRPr="00C425BB">
        <w:rPr>
          <w:rFonts w:ascii="Times New Roman" w:hAnsi="Times New Roman" w:cs="Times New Roman"/>
          <w:lang w:val="en-GB"/>
        </w:rPr>
        <w:t>Crucially, the Court further ruled that, since Article 10(2) constitutes harmonised EU law governing the information which must imperatively be included in a credit agreement, Article 22(1) precludes a Member State from imposing under national law any obligation to include in the agreement information — such as a mandatory amortisation table — that goes beyond what Article 10(2) requires. Article 10(2)(u), which requires inclusion of "other contractual terms and conditions where applicable," cannot be relied upon to permit Member States to impose additional mandatory disclosure obligations of that nature. Under Article 23, Member States must lay down effective, proportionate, and dissuasive penalties for infringements of national provisions transposing Directive 2008/48. The Court held that a national law deeming a credit agreement to be interest-free and free of charges — thereby causing the creditor to forfeit all entitlement to interest and charges — is compatible with the proportionality requirement of Article 23, provided that the omitted information is of a kind that, if absent, compromises the consumer's ability to assess the extent of his liability. The Court identified the annual percentage rate of charge, the number and frequency of payments, and information on notarial fees and security requirements as examples of vitally important information whose omission warrants that severe sanction. Conversely, the application of such a forfeiture penalty in respect of information which by its nature cannot bear on the consumer's assessment of his liability — such as the name and address of the competent supervisory authority under Article 10(2)(v) — cannot be considered proportionate.</w:t>
      </w:r>
    </w:p>
    <w:p w14:paraId="201D33C5" w14:textId="77777777" w:rsidR="00906CD8" w:rsidRDefault="00906CD8" w:rsidP="00286EF4">
      <w:pPr>
        <w:rPr>
          <w:rFonts w:ascii="Times New Roman" w:hAnsi="Times New Roman" w:cs="Times New Roman"/>
          <w:lang w:val="en-GB"/>
        </w:rPr>
      </w:pPr>
    </w:p>
    <w:p w14:paraId="1076B1D5"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Granite 1</w:t>
      </w:r>
    </w:p>
    <w:p w14:paraId="3490F60C" w14:textId="77777777" w:rsidR="00906CD8" w:rsidRPr="00906CD8" w:rsidRDefault="00906CD8" w:rsidP="00906CD8">
      <w:pPr>
        <w:rPr>
          <w:rFonts w:ascii="Times New Roman" w:hAnsi="Times New Roman" w:cs="Times New Roman"/>
        </w:rPr>
      </w:pPr>
    </w:p>
    <w:p w14:paraId="383BF0A5"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3(m), 10(1) and (2) The Court of Justice of the European Union (CJEU) has clarified the interpretation of Directive 2008/48/EC concerning credit agreements. The directive mandates that credit agreements be drawn up on paper or another durable medium, ensuring that consumers are fully aware of their rights and obligations. The term "paper" refers to the medium on which the agreement is drawn up, without necessitating a signature, while "durable medium" is defined as any instrument enabling the consumer to store information for future reference, allowing for the unchanged reproduction of the information stored. The directive does not specify that credit agreements must be drawn up in a single document, nor does it require that the agreement be signed by the parties. However, it does not preclude Member States from imposing such requirements under their national legislation, provided these do not conflict with EU law.</w:t>
      </w:r>
    </w:p>
    <w:p w14:paraId="6E8BABF3"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 xml:space="preserve">Articles 10(2)(h) and (i), 22(1), and 23 Regarding the specific content of credit agreements, Article 10(2)(h) of the directive requires that the agreement include the amount, number, and frequency of payments to be made by the consumer, as well as the order in which payments will be allocated to different outstanding balances charged at different borrowing rates. The </w:t>
      </w:r>
      <w:r w:rsidRPr="00906CD8">
        <w:rPr>
          <w:rFonts w:ascii="Times New Roman" w:hAnsi="Times New Roman" w:cs="Times New Roman"/>
        </w:rPr>
        <w:lastRenderedPageBreak/>
        <w:t>CJEU has determined that this provision aims to ensure that consumers are aware of the dates on which each payment falls due. Therefore, a credit agreement must indicate each payment to be made by reference to a specific date, rather than relying on a general reference that enables the consumer to identify the payment dates. This interpretation is based on the objective of the provision, which is to provide clear and concise information to the consumer, thereby facilitating their understanding of the credit agreement's terms and conditions. The Court's reasoning underscores the importance of transparency and clarity in consumer credit agreements, aligning with the broader objectives of Directive 2008/48/EC to protect consumers and facilitate a well-functioning internal market in consumer credit.</w:t>
      </w:r>
    </w:p>
    <w:p w14:paraId="7F508A73" w14:textId="77777777" w:rsidR="00906CD8" w:rsidRPr="00906CD8" w:rsidRDefault="00906CD8" w:rsidP="00906CD8">
      <w:pPr>
        <w:rPr>
          <w:rFonts w:ascii="Times New Roman" w:hAnsi="Times New Roman" w:cs="Times New Roman"/>
        </w:rPr>
      </w:pPr>
    </w:p>
    <w:p w14:paraId="4FDC63AC"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Granite 2</w:t>
      </w:r>
    </w:p>
    <w:p w14:paraId="54E8AE1A" w14:textId="77777777" w:rsidR="00906CD8" w:rsidRPr="00906CD8" w:rsidRDefault="00906CD8" w:rsidP="00906CD8">
      <w:pPr>
        <w:rPr>
          <w:rFonts w:ascii="Times New Roman" w:hAnsi="Times New Roman" w:cs="Times New Roman"/>
        </w:rPr>
      </w:pPr>
    </w:p>
    <w:p w14:paraId="7D6BF581"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3(m), 10(1) and (2), The Court of Justice of the European Union (CJEU) has clarified the interpretation of Directive 2008/48/EC concerning credit agreements. The directive mandates that credit agreements be drawn up on paper or another durable medium, ensuring that consumers are fully aware of their rights and obligations. The term "paper" refers to the medium on which the agreement is drawn up, without necessitating a signature, while "durable medium" is defined as any instrument enabling the consumer to store information for future reference, allowing for the unchanged reproduction of the information stored. The directive does not require credit agreements to be drawn up in a single document, nor does it preclude Member States from imposing additional national requirements, such as the signing of paper agreements by the parties involved. The Court emphasized that the directive's objective is to provide full and mandatory harmonization in key areas of consumer credit, ensuring a high and equivalent level of protection for consumers across the European Union and facilitating a well-functioning internal market in consumer credit.</w:t>
      </w:r>
    </w:p>
    <w:p w14:paraId="31B662CE"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10(2)(h) and (i), 22(1), and 23, Regarding the specific content of credit agreements, the CJEU interpreted Article 10(2)(h) to mean that it is not necessary for a credit agreement to indicate each payment to be made by the consumer by reference to a specific date. Instead, a general reference in the agreement that enables the consumer to identify the payment dates is sufficient, provided that the consumer can ascertain these dates without difficulty and with certainty. This interpretation aligns with the directive's objective of ensuring consumer awareness of payment schedules. Furthermore, the Court addressed the applicability of national legislation concerning the validity of credit agreements, noting that while Directive 2008/48 applies without prejudice to national rules, it does not prevent Member States from imposing additional requirements, such as the signing of agreements, as long as these do not conflict with EU law. The Court's reasoning underscores the balance between ensuring consumer protection and allowing Member States some flexibility in implementing national legislation, as long as it complies with the overarching objectives of the directive.</w:t>
      </w:r>
    </w:p>
    <w:p w14:paraId="3CF945F0" w14:textId="77777777" w:rsidR="00906CD8" w:rsidRPr="00906CD8" w:rsidRDefault="00906CD8" w:rsidP="00906CD8">
      <w:pPr>
        <w:rPr>
          <w:rFonts w:ascii="Times New Roman" w:hAnsi="Times New Roman" w:cs="Times New Roman"/>
        </w:rPr>
      </w:pPr>
    </w:p>
    <w:p w14:paraId="41FCDE81"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Granite 3</w:t>
      </w:r>
    </w:p>
    <w:p w14:paraId="1CF0DE4C" w14:textId="77777777" w:rsidR="00906CD8" w:rsidRPr="00906CD8" w:rsidRDefault="00906CD8" w:rsidP="00906CD8">
      <w:pPr>
        <w:rPr>
          <w:rFonts w:ascii="Times New Roman" w:hAnsi="Times New Roman" w:cs="Times New Roman"/>
        </w:rPr>
      </w:pPr>
    </w:p>
    <w:p w14:paraId="5F8CBE82"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3(m), 10(1) and (2), The Court of Justice of the European Union (CJEU) has clarified the interpretation of Directive 2008/48/EC concerning credit agreements. The directive mandates that credit agreements be drawn up on paper or another durable medium, ensuring that consumers are fully aware of their rights and obligations. The term "paper" refers to the medium on which the agreement is drawn up, without necessitating a signature, while "durable medium" is defined as any instrument enabling the consumer to store information for future reference, allowing for the unchanged reproduction of the information stored. The directive does not specify that credit agreements must be drawn up in a single document, nor does it require that such agreements be signed by the parties, as these aspects are governed by national law. The directive's objective is to provide full and mandatory harmonization in key areas of consumer credit, ensuring a high and equivalent level of protection for consumers across the European Union and facilitating a well-functioning internal market in consumer credit.</w:t>
      </w:r>
    </w:p>
    <w:p w14:paraId="35756435"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10(2)(h) and (i), 22(1), and 23, Regarding the specific content of credit agreements, Article 10(2)(h) of Directive 2008/48 requires that the agreement include the amount, number, and frequency of payments to be made by the consumer, as well as the order in which payments will be allocated to different outstanding balances charged at different borrowing rates. The CJEU has determined that this provision aims to ensure that consumers are aware of the dates on which each payment falls due. Therefore, a credit agreement must indicate each payment to be made by reference to a specific date, rather than relying on a general reference that enables the consumer to identify the payment dates. This interpretation is based on the objective of the provision to provide clear and concise information to the consumer, thereby ensuring transparency and facilitating informed decision-making. The directive does not preclude Member States from imposing additional requirements under national law, such as the signing of credit agreements drawn up on paper by the parties, provided these requirements are in conformity with EU law.</w:t>
      </w:r>
    </w:p>
    <w:p w14:paraId="73921D11" w14:textId="77777777" w:rsidR="00906CD8" w:rsidRPr="00906CD8" w:rsidRDefault="00906CD8" w:rsidP="00906CD8">
      <w:pPr>
        <w:rPr>
          <w:rFonts w:ascii="Times New Roman" w:hAnsi="Times New Roman" w:cs="Times New Roman"/>
        </w:rPr>
      </w:pPr>
    </w:p>
    <w:p w14:paraId="477210E2"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 xml:space="preserve">Granite 4 </w:t>
      </w:r>
    </w:p>
    <w:p w14:paraId="7DFE83BE" w14:textId="77777777" w:rsidR="00906CD8" w:rsidRPr="00906CD8" w:rsidRDefault="00906CD8" w:rsidP="00906CD8">
      <w:pPr>
        <w:rPr>
          <w:rFonts w:ascii="Times New Roman" w:hAnsi="Times New Roman" w:cs="Times New Roman"/>
        </w:rPr>
      </w:pPr>
    </w:p>
    <w:p w14:paraId="28110177"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 xml:space="preserve">Articles 3(m), 10(1) and (2), The Court of Justice of the European Union (CJEU) has clarified the interpretation of Directive 2008/48/EC concerning credit agreements. The directive mandates that credit agreements be drawn up on paper or another durable medium, ensuring that consumers are fully aware of their rights and obligations. The term "paper" refers to the medium on which the agreement is drawn up, without necessitating a signature, while "durable medium" is defined as any instrument enabling the consumer to store information for future reference, allowing for the unchanged reproduction of the information stored. The directive does not specify that credit agreements must be drawn up in a single document, nor does it require that such agreements be signed by the parties, as these aspects are governed by national law. The directive's objective is to provide full and mandatory </w:t>
      </w:r>
      <w:r w:rsidRPr="00906CD8">
        <w:rPr>
          <w:rFonts w:ascii="Times New Roman" w:hAnsi="Times New Roman" w:cs="Times New Roman"/>
        </w:rPr>
        <w:lastRenderedPageBreak/>
        <w:t>harmonization in key areas of consumer credit, ensuring a high and equivalent level of protection for consumers across the European Union and facilitating a well-functioning internal market in consumer credit.</w:t>
      </w:r>
    </w:p>
    <w:p w14:paraId="2F720C5F"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10(2)(h) and (i), 22(1), and 23, Regarding the specific content of credit agreements, Article 10(2)(h) of Directive 2008/48 requires that the agreement include the amount, number, and frequency of payments to be made by the consumer, as well as the order in which payments will be allocated to different outstanding balances charged at different borrowing rates. The CJEU has determined that this provision aims to ensure that consumers are aware of the dates on which each payment falls due. Therefore, a credit agreement must indicate each payment to be made by reference to a specific date, rather than relying on a general reference that enables the consumer to identify the payment dates. This interpretation is based on the objective of the provision to provide clear and concise information to the consumer, thereby ensuring transparency and facilitating informed decision-making. The directive does not preclude Member States from imposing additional requirements under national law, such as the signing of credit agreements drawn up on paper by the parties, provided these requirements are in conformity with EU law.</w:t>
      </w:r>
    </w:p>
    <w:p w14:paraId="45515FB2" w14:textId="77777777" w:rsidR="00906CD8" w:rsidRPr="00906CD8" w:rsidRDefault="00906CD8" w:rsidP="00906CD8">
      <w:pPr>
        <w:rPr>
          <w:rFonts w:ascii="Times New Roman" w:hAnsi="Times New Roman" w:cs="Times New Roman"/>
        </w:rPr>
      </w:pPr>
    </w:p>
    <w:p w14:paraId="5DD0F891" w14:textId="4622C50B" w:rsidR="00906CD8" w:rsidRPr="00906CD8" w:rsidRDefault="00906CD8" w:rsidP="00906CD8">
      <w:pPr>
        <w:rPr>
          <w:rFonts w:ascii="Times New Roman" w:hAnsi="Times New Roman" w:cs="Times New Roman"/>
        </w:rPr>
      </w:pPr>
      <w:r w:rsidRPr="00906CD8">
        <w:rPr>
          <w:rFonts w:ascii="Times New Roman" w:hAnsi="Times New Roman" w:cs="Times New Roman"/>
        </w:rPr>
        <w:t>Granite 5</w:t>
      </w:r>
      <w:r w:rsidR="009530EC">
        <w:rPr>
          <w:rFonts w:ascii="Times New Roman" w:hAnsi="Times New Roman" w:cs="Times New Roman"/>
        </w:rPr>
        <w:t xml:space="preserve">* </w:t>
      </w:r>
    </w:p>
    <w:p w14:paraId="34DCC8C4" w14:textId="77777777" w:rsidR="00906CD8" w:rsidRPr="00906CD8" w:rsidRDefault="00906CD8" w:rsidP="00906CD8">
      <w:pPr>
        <w:rPr>
          <w:rFonts w:ascii="Times New Roman" w:hAnsi="Times New Roman" w:cs="Times New Roman"/>
        </w:rPr>
      </w:pPr>
    </w:p>
    <w:p w14:paraId="150EC4DF" w14:textId="77777777" w:rsidR="00906CD8" w:rsidRPr="00906CD8" w:rsidRDefault="00906CD8" w:rsidP="00906CD8">
      <w:pPr>
        <w:rPr>
          <w:rFonts w:ascii="Times New Roman" w:hAnsi="Times New Roman" w:cs="Times New Roman"/>
        </w:rPr>
      </w:pPr>
      <w:r w:rsidRPr="00906CD8">
        <w:rPr>
          <w:rFonts w:ascii="Times New Roman" w:hAnsi="Times New Roman" w:cs="Times New Roman"/>
        </w:rPr>
        <w:t>Articles 3(m), 10(1) and (2) The Court of Justice of the European Union (CJEU) has clarified the interpretation of Directive 2008/48/EC concerning consumer credit agreements. The directive mandates that credit agreements be drawn up on paper or another durable medium, ensuring that consumers are fully aware of their rights and obligations</w:t>
      </w:r>
      <w:commentRangeStart w:id="14"/>
      <w:r w:rsidRPr="00906CD8">
        <w:rPr>
          <w:rFonts w:ascii="Times New Roman" w:hAnsi="Times New Roman" w:cs="Times New Roman"/>
        </w:rPr>
        <w:t>. The term "paper" refers to the medium on which the agreement is drawn up, without necessitating a signature, while "durable medium" is defined as any instrument enabling the consumer to store information for future reference, allowing for the unchanged reproduction of the information stored.</w:t>
      </w:r>
      <w:commentRangeEnd w:id="14"/>
      <w:r w:rsidR="00A8372A" w:rsidRPr="00906CD8">
        <w:rPr>
          <w:rStyle w:val="CommentReference"/>
          <w:rFonts w:ascii="Times New Roman" w:hAnsi="Times New Roman" w:cs="Times New Roman"/>
          <w:sz w:val="24"/>
          <w:szCs w:val="24"/>
        </w:rPr>
        <w:commentReference w:id="14"/>
      </w:r>
      <w:r w:rsidRPr="00906CD8">
        <w:rPr>
          <w:rFonts w:ascii="Times New Roman" w:hAnsi="Times New Roman" w:cs="Times New Roman"/>
        </w:rPr>
        <w:t xml:space="preserve"> The directive does not require that credit agreements be drawn up in a single document, nor does it preclude Member States from imposing additional national requirements, such as the signing of agreements drawn up on paper, provided these do not conflict with EU </w:t>
      </w:r>
      <w:commentRangeStart w:id="15"/>
      <w:r w:rsidRPr="00906CD8">
        <w:rPr>
          <w:rFonts w:ascii="Times New Roman" w:hAnsi="Times New Roman" w:cs="Times New Roman"/>
        </w:rPr>
        <w:t>law.</w:t>
      </w:r>
      <w:commentRangeEnd w:id="15"/>
      <w:r w:rsidR="00A8372A" w:rsidRPr="00906CD8">
        <w:rPr>
          <w:rStyle w:val="CommentReference"/>
          <w:rFonts w:ascii="Times New Roman" w:hAnsi="Times New Roman" w:cs="Times New Roman"/>
          <w:sz w:val="24"/>
          <w:szCs w:val="24"/>
        </w:rPr>
        <w:commentReference w:id="15"/>
      </w:r>
    </w:p>
    <w:p w14:paraId="10D992E3" w14:textId="72A3654B" w:rsidR="00906CD8" w:rsidRPr="00906CD8" w:rsidRDefault="00906CD8" w:rsidP="00906CD8">
      <w:pPr>
        <w:rPr>
          <w:rFonts w:ascii="Times New Roman" w:hAnsi="Times New Roman" w:cs="Times New Roman"/>
        </w:rPr>
      </w:pPr>
      <w:r w:rsidRPr="00906CD8">
        <w:rPr>
          <w:rFonts w:ascii="Times New Roman" w:hAnsi="Times New Roman" w:cs="Times New Roman"/>
        </w:rPr>
        <w:t xml:space="preserve">Articles 10(2)(h) and (i), 22(1), and 23 Regarding the presentation of payment details in credit agreements, the CJEU has determined that Article 10(2)(h) requires that the amount, number, and frequency of payments, as well as the order of allocation to outstanding balances, be clearly and concisely indicated. The directive does not mandate that each payment be specified by a specific date; rather, it is sufficient for the agreement to enable the consumer to identify payment dates without difficulty and with certainty. This interpretation aligns with the directive's objective to ensure consumers are fully informed about their payment obligations. </w:t>
      </w:r>
      <w:commentRangeStart w:id="16"/>
      <w:r w:rsidRPr="00906CD8">
        <w:rPr>
          <w:rFonts w:ascii="Times New Roman" w:hAnsi="Times New Roman" w:cs="Times New Roman"/>
        </w:rPr>
        <w:t xml:space="preserve">Furthermore, the directive does not prevent Member States from requiring that all details of the agreement, as specified in Article 10(2), </w:t>
      </w:r>
      <w:commentRangeEnd w:id="16"/>
      <w:r w:rsidR="00A8372A" w:rsidRPr="00906CD8">
        <w:rPr>
          <w:rStyle w:val="CommentReference"/>
          <w:rFonts w:ascii="Times New Roman" w:hAnsi="Times New Roman" w:cs="Times New Roman"/>
          <w:sz w:val="24"/>
          <w:szCs w:val="24"/>
        </w:rPr>
        <w:commentReference w:id="16"/>
      </w:r>
      <w:r w:rsidRPr="00906CD8">
        <w:rPr>
          <w:rFonts w:ascii="Times New Roman" w:hAnsi="Times New Roman" w:cs="Times New Roman"/>
        </w:rPr>
        <w:t xml:space="preserve">be included in the document, ensuring comprehensive disclosure to the </w:t>
      </w:r>
      <w:commentRangeStart w:id="17"/>
      <w:commentRangeStart w:id="18"/>
      <w:r w:rsidRPr="00906CD8">
        <w:rPr>
          <w:rFonts w:ascii="Times New Roman" w:hAnsi="Times New Roman" w:cs="Times New Roman"/>
        </w:rPr>
        <w:t>consumer.</w:t>
      </w:r>
      <w:commentRangeEnd w:id="18"/>
      <w:r w:rsidR="00A8372A" w:rsidRPr="00906CD8">
        <w:rPr>
          <w:rStyle w:val="CommentReference"/>
          <w:rFonts w:ascii="Times New Roman" w:hAnsi="Times New Roman" w:cs="Times New Roman"/>
          <w:sz w:val="24"/>
          <w:szCs w:val="24"/>
        </w:rPr>
        <w:commentReference w:id="18"/>
      </w:r>
      <w:commentRangeEnd w:id="17"/>
      <w:r w:rsidR="00A8372A" w:rsidRPr="00906CD8">
        <w:rPr>
          <w:rStyle w:val="CommentReference"/>
          <w:rFonts w:ascii="Times New Roman" w:hAnsi="Times New Roman" w:cs="Times New Roman"/>
          <w:sz w:val="24"/>
          <w:szCs w:val="24"/>
        </w:rPr>
        <w:commentReference w:id="17"/>
      </w:r>
    </w:p>
    <w:sectPr w:rsidR="00906CD8" w:rsidRPr="00906C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ps, Carlo (Stud. FdR)" w:date="2026-05-01T12:15:00Z" w:initials="RC(F">
    <w:p w14:paraId="43AE8E9C" w14:textId="77777777" w:rsidR="003F1776" w:rsidRDefault="003F1776" w:rsidP="003F1776">
      <w:r>
        <w:rPr>
          <w:rStyle w:val="CommentReference"/>
        </w:rPr>
        <w:annotationRef/>
      </w:r>
      <w:r>
        <w:rPr>
          <w:sz w:val="20"/>
          <w:szCs w:val="20"/>
        </w:rPr>
        <w:t>where?</w:t>
      </w:r>
    </w:p>
    <w:p w14:paraId="2F139EAF" w14:textId="77777777" w:rsidR="003F1776" w:rsidRDefault="003F1776" w:rsidP="003F1776"/>
  </w:comment>
  <w:comment w:id="1" w:author="Raps, Carlo (Stud. FdR)" w:date="2026-05-01T12:12:00Z" w:initials="RC(F">
    <w:p w14:paraId="40BB1727" w14:textId="77777777" w:rsidR="002B7ADC" w:rsidRDefault="002B7ADC" w:rsidP="002B7ADC">
      <w:r>
        <w:rPr>
          <w:rStyle w:val="CommentReference"/>
        </w:rPr>
        <w:annotationRef/>
      </w:r>
      <w:r>
        <w:rPr>
          <w:sz w:val="20"/>
          <w:szCs w:val="20"/>
        </w:rPr>
        <w:t>extra</w:t>
      </w:r>
      <w:r>
        <w:rPr>
          <w:sz w:val="20"/>
          <w:szCs w:val="20"/>
        </w:rPr>
        <w:cr/>
      </w:r>
    </w:p>
  </w:comment>
  <w:comment w:id="2" w:author="Raps, Carlo (Stud. FdR)" w:date="2026-05-01T12:12:00Z" w:initials="RC(F">
    <w:p w14:paraId="1A15A5B3" w14:textId="77777777" w:rsidR="002B7ADC" w:rsidRDefault="002B7ADC" w:rsidP="002B7ADC">
      <w:r>
        <w:rPr>
          <w:rStyle w:val="CommentReference"/>
        </w:rPr>
        <w:annotationRef/>
      </w:r>
      <w:r>
        <w:rPr>
          <w:sz w:val="20"/>
          <w:szCs w:val="20"/>
        </w:rPr>
        <w:t>not the other</w:t>
      </w:r>
    </w:p>
  </w:comment>
  <w:comment w:id="3" w:author="Raps, Carlo (Stud. FdR)" w:date="2026-05-01T12:15:00Z" w:initials="RC(F">
    <w:p w14:paraId="081BED40" w14:textId="77777777" w:rsidR="002B7ADC" w:rsidRDefault="002B7ADC" w:rsidP="002B7ADC">
      <w:r>
        <w:rPr>
          <w:rStyle w:val="CommentReference"/>
        </w:rPr>
        <w:annotationRef/>
      </w:r>
      <w:r>
        <w:rPr>
          <w:sz w:val="20"/>
          <w:szCs w:val="20"/>
        </w:rPr>
        <w:t>missing prior to conclusion</w:t>
      </w:r>
    </w:p>
  </w:comment>
  <w:comment w:id="4" w:author="Raps, Carlo (Stud. FdR)" w:date="2026-05-01T12:17:00Z" w:initials="RC(F">
    <w:p w14:paraId="6E4BCC7B" w14:textId="77777777" w:rsidR="003F1776" w:rsidRDefault="003F1776" w:rsidP="003F1776">
      <w:r>
        <w:rPr>
          <w:rStyle w:val="CommentReference"/>
        </w:rPr>
        <w:annotationRef/>
      </w:r>
      <w:r>
        <w:rPr>
          <w:sz w:val="20"/>
          <w:szCs w:val="20"/>
        </w:rPr>
        <w:t>added</w:t>
      </w:r>
    </w:p>
    <w:p w14:paraId="33BCB1E6" w14:textId="77777777" w:rsidR="003F1776" w:rsidRDefault="003F1776" w:rsidP="003F1776"/>
  </w:comment>
  <w:comment w:id="5" w:author="Raps, Carlo (Stud. FdR)" w:date="2026-05-01T12:19:00Z" w:initials="RC(F">
    <w:p w14:paraId="1E3ECD96" w14:textId="77777777" w:rsidR="003F1776" w:rsidRDefault="003F1776" w:rsidP="003F1776">
      <w:r>
        <w:rPr>
          <w:rStyle w:val="CommentReference"/>
        </w:rPr>
        <w:annotationRef/>
      </w:r>
      <w:r>
        <w:rPr>
          <w:sz w:val="20"/>
          <w:szCs w:val="20"/>
        </w:rPr>
        <w:t>focus on reasoning rather than interpration and broad</w:t>
      </w:r>
    </w:p>
  </w:comment>
  <w:comment w:id="6" w:author="Raps, Carlo (Stud. FdR)" w:date="2026-05-01T12:29:00Z" w:initials="RC(F">
    <w:p w14:paraId="02D93A3A" w14:textId="77777777" w:rsidR="003F1776" w:rsidRDefault="003F1776" w:rsidP="003F1776">
      <w:r>
        <w:rPr>
          <w:rStyle w:val="CommentReference"/>
        </w:rPr>
        <w:annotationRef/>
      </w:r>
      <w:r>
        <w:rPr>
          <w:sz w:val="20"/>
          <w:szCs w:val="20"/>
        </w:rPr>
        <w:t>extra</w:t>
      </w:r>
    </w:p>
  </w:comment>
  <w:comment w:id="7" w:author="Raps, Carlo (Stud. FdR)" w:date="2026-05-01T12:28:00Z" w:initials="RC(F">
    <w:p w14:paraId="257E49B7" w14:textId="77777777" w:rsidR="003F1776" w:rsidRDefault="003F1776" w:rsidP="003F1776">
      <w:r>
        <w:rPr>
          <w:rStyle w:val="CommentReference"/>
        </w:rPr>
        <w:annotationRef/>
      </w:r>
      <w:r>
        <w:rPr>
          <w:sz w:val="20"/>
          <w:szCs w:val="20"/>
        </w:rPr>
        <w:t>?</w:t>
      </w:r>
    </w:p>
  </w:comment>
  <w:comment w:id="8" w:author="Raps, Carlo (Stud. FdR)" w:date="2026-05-01T12:31:00Z" w:initials="RC(F">
    <w:p w14:paraId="110FF23F" w14:textId="77777777" w:rsidR="006675FF" w:rsidRDefault="006675FF" w:rsidP="006675FF">
      <w:r>
        <w:rPr>
          <w:rStyle w:val="CommentReference"/>
        </w:rPr>
        <w:annotationRef/>
      </w:r>
      <w:r>
        <w:rPr>
          <w:sz w:val="20"/>
          <w:szCs w:val="20"/>
        </w:rPr>
        <w:t>missing citations + missing n and o</w:t>
      </w:r>
    </w:p>
  </w:comment>
  <w:comment w:id="9" w:author="Raps, Carlo (Stud. FdR)" w:date="2026-05-01T12:39:00Z" w:initials="RC(F">
    <w:p w14:paraId="4A4E8A78" w14:textId="77777777" w:rsidR="006675FF" w:rsidRDefault="006675FF" w:rsidP="006675FF">
      <w:r>
        <w:rPr>
          <w:rStyle w:val="CommentReference"/>
        </w:rPr>
        <w:annotationRef/>
      </w:r>
      <w:r>
        <w:rPr>
          <w:sz w:val="20"/>
          <w:szCs w:val="20"/>
        </w:rPr>
        <w:t>minor mistakes (omiiting at time of conclusion) very broad</w:t>
      </w:r>
    </w:p>
  </w:comment>
  <w:comment w:id="10" w:author="Raps, Carlo (Stud. FdR)" w:date="2026-05-01T12:45:00Z" w:initials="RC(F">
    <w:p w14:paraId="1A058856" w14:textId="77777777" w:rsidR="00DD1843" w:rsidRDefault="00DD1843" w:rsidP="00DD1843">
      <w:r>
        <w:rPr>
          <w:rStyle w:val="CommentReference"/>
        </w:rPr>
        <w:annotationRef/>
      </w:r>
      <w:r>
        <w:rPr>
          <w:sz w:val="20"/>
          <w:szCs w:val="20"/>
        </w:rPr>
        <w:t>spefificty not in case --&gt; possibky hallucination (over spefication</w:t>
      </w:r>
    </w:p>
  </w:comment>
  <w:comment w:id="11" w:author="Raps, Carlo (Stud. FdR)" w:date="2026-05-01T12:42:00Z" w:initials="RC(F">
    <w:p w14:paraId="035F9919" w14:textId="77777777" w:rsidR="00DD1843" w:rsidRDefault="00DD1843" w:rsidP="00DD1843">
      <w:r>
        <w:rPr>
          <w:rStyle w:val="CommentReference"/>
        </w:rPr>
        <w:annotationRef/>
      </w:r>
      <w:r>
        <w:rPr>
          <w:sz w:val="20"/>
          <w:szCs w:val="20"/>
        </w:rPr>
        <w:t xml:space="preserve">N and O if 10(2)missing </w:t>
      </w:r>
    </w:p>
    <w:p w14:paraId="7FD0C07C" w14:textId="77777777" w:rsidR="00DD1843" w:rsidRDefault="00DD1843" w:rsidP="00DD1843"/>
  </w:comment>
  <w:comment w:id="12" w:author="Raps, Carlo (Stud. FdR)" w:date="2026-05-01T12:46:00Z" w:initials="RC(F">
    <w:p w14:paraId="5F138DC9" w14:textId="77777777" w:rsidR="00DD1843" w:rsidRDefault="00DD1843" w:rsidP="00DD1843">
      <w:r>
        <w:rPr>
          <w:rStyle w:val="CommentReference"/>
        </w:rPr>
        <w:annotationRef/>
      </w:r>
      <w:r>
        <w:rPr>
          <w:sz w:val="20"/>
          <w:szCs w:val="20"/>
        </w:rPr>
        <w:t xml:space="preserve">V is a negative obligation </w:t>
      </w:r>
    </w:p>
  </w:comment>
  <w:comment w:id="13" w:author="Raps, Carlo (Stud. FdR)" w:date="2026-05-01T12:41:00Z" w:initials="RC(F">
    <w:p w14:paraId="737D77E7" w14:textId="77777777" w:rsidR="00DD1843" w:rsidRDefault="00DD1843" w:rsidP="00DD1843">
      <w:r>
        <w:rPr>
          <w:rStyle w:val="CommentReference"/>
        </w:rPr>
        <w:annotationRef/>
      </w:r>
      <w:r>
        <w:rPr>
          <w:sz w:val="20"/>
          <w:szCs w:val="20"/>
        </w:rPr>
        <w:t>relevant?</w:t>
      </w:r>
    </w:p>
  </w:comment>
  <w:comment w:id="14" w:author="Raps, Carlo (Stud. FdR)" w:date="2026-05-01T12:54:00Z" w:initials="RC(F">
    <w:p w14:paraId="13FE85CD" w14:textId="77777777" w:rsidR="00A8372A" w:rsidRDefault="00A8372A" w:rsidP="00A8372A">
      <w:r>
        <w:rPr>
          <w:rStyle w:val="CommentReference"/>
        </w:rPr>
        <w:annotationRef/>
      </w:r>
      <w:r>
        <w:rPr>
          <w:sz w:val="20"/>
          <w:szCs w:val="20"/>
        </w:rPr>
        <w:t>ommiting national law can require</w:t>
      </w:r>
    </w:p>
  </w:comment>
  <w:comment w:id="15" w:author="Raps, Carlo (Stud. FdR)" w:date="2026-05-01T12:52:00Z" w:initials="RC(F">
    <w:p w14:paraId="74C992F0" w14:textId="77777777" w:rsidR="00A8372A" w:rsidRDefault="00A8372A" w:rsidP="00A8372A">
      <w:r>
        <w:rPr>
          <w:rStyle w:val="CommentReference"/>
        </w:rPr>
        <w:annotationRef/>
      </w:r>
      <w:r>
        <w:rPr>
          <w:sz w:val="20"/>
          <w:szCs w:val="20"/>
        </w:rPr>
        <w:t xml:space="preserve">no cross reference requirement </w:t>
      </w:r>
    </w:p>
  </w:comment>
  <w:comment w:id="16" w:author="Raps, Carlo (Stud. FdR)" w:date="2026-05-01T12:56:00Z" w:initials="RC(F">
    <w:p w14:paraId="0492569A" w14:textId="77777777" w:rsidR="00A8372A" w:rsidRDefault="00A8372A" w:rsidP="00A8372A">
      <w:r>
        <w:rPr>
          <w:rStyle w:val="CommentReference"/>
        </w:rPr>
        <w:annotationRef/>
      </w:r>
      <w:r>
        <w:rPr>
          <w:sz w:val="20"/>
          <w:szCs w:val="20"/>
        </w:rPr>
        <w:t>memberstates cannot go against 10(2) its default</w:t>
      </w:r>
    </w:p>
  </w:comment>
  <w:comment w:id="18" w:author="Raps, Carlo (Stud. FdR)" w:date="2026-05-01T12:54:00Z" w:initials="RC(F">
    <w:p w14:paraId="40BCD306" w14:textId="77777777" w:rsidR="00A8372A" w:rsidRDefault="00A8372A" w:rsidP="00A8372A">
      <w:r>
        <w:rPr>
          <w:rStyle w:val="CommentReference"/>
        </w:rPr>
        <w:annotationRef/>
      </w:r>
      <w:r>
        <w:rPr>
          <w:sz w:val="20"/>
          <w:szCs w:val="20"/>
        </w:rPr>
        <w:t xml:space="preserve">amorization table missing </w:t>
      </w:r>
    </w:p>
  </w:comment>
  <w:comment w:id="17" w:author="Raps, Carlo (Stud. FdR)" w:date="2026-05-01T12:55:00Z" w:initials="RC(F">
    <w:p w14:paraId="5C617B2B" w14:textId="77777777" w:rsidR="00A8372A" w:rsidRDefault="00A8372A" w:rsidP="00A8372A">
      <w:r>
        <w:rPr>
          <w:rStyle w:val="CommentReference"/>
        </w:rPr>
        <w:annotationRef/>
      </w:r>
      <w:r>
        <w:rPr>
          <w:sz w:val="20"/>
          <w:szCs w:val="20"/>
        </w:rPr>
        <w:t>missing n g and o</w:t>
      </w:r>
    </w:p>
    <w:p w14:paraId="3FBF217D" w14:textId="77777777" w:rsidR="00A8372A" w:rsidRDefault="00A8372A" w:rsidP="00A8372A"/>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39EAF" w15:done="0"/>
  <w15:commentEx w15:paraId="40BB1727" w15:done="0"/>
  <w15:commentEx w15:paraId="1A15A5B3" w15:done="0"/>
  <w15:commentEx w15:paraId="081BED40" w15:done="0"/>
  <w15:commentEx w15:paraId="33BCB1E6" w15:done="0"/>
  <w15:commentEx w15:paraId="1E3ECD96" w15:done="0"/>
  <w15:commentEx w15:paraId="02D93A3A" w15:done="0"/>
  <w15:commentEx w15:paraId="257E49B7" w15:done="0"/>
  <w15:commentEx w15:paraId="110FF23F" w15:done="0"/>
  <w15:commentEx w15:paraId="4A4E8A78" w15:done="0"/>
  <w15:commentEx w15:paraId="1A058856" w15:done="0"/>
  <w15:commentEx w15:paraId="7FD0C07C" w15:done="0"/>
  <w15:commentEx w15:paraId="5F138DC9" w15:paraIdParent="7FD0C07C" w15:done="0"/>
  <w15:commentEx w15:paraId="737D77E7" w15:done="0"/>
  <w15:commentEx w15:paraId="13FE85CD" w15:done="0"/>
  <w15:commentEx w15:paraId="74C992F0" w15:done="0"/>
  <w15:commentEx w15:paraId="0492569A" w15:done="0"/>
  <w15:commentEx w15:paraId="40BCD306" w15:done="0"/>
  <w15:commentEx w15:paraId="3FBF21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F18105" w16cex:dateUtc="2026-05-01T10:15:00Z"/>
  <w16cex:commentExtensible w16cex:durableId="605EBDAA" w16cex:dateUtc="2026-05-01T10:12:00Z"/>
  <w16cex:commentExtensible w16cex:durableId="488D03BB" w16cex:dateUtc="2026-05-01T10:12:00Z"/>
  <w16cex:commentExtensible w16cex:durableId="6C2D7B14" w16cex:dateUtc="2026-05-01T10:15:00Z"/>
  <w16cex:commentExtensible w16cex:durableId="66D6CDCF" w16cex:dateUtc="2026-05-01T10:17:00Z"/>
  <w16cex:commentExtensible w16cex:durableId="36907365" w16cex:dateUtc="2026-05-01T10:19:00Z"/>
  <w16cex:commentExtensible w16cex:durableId="70921090" w16cex:dateUtc="2026-05-01T10:29:00Z"/>
  <w16cex:commentExtensible w16cex:durableId="3026B122" w16cex:dateUtc="2026-05-01T10:28:00Z"/>
  <w16cex:commentExtensible w16cex:durableId="0C54EBF5" w16cex:dateUtc="2026-05-01T10:31:00Z"/>
  <w16cex:commentExtensible w16cex:durableId="2E671CB9" w16cex:dateUtc="2026-05-01T10:39:00Z"/>
  <w16cex:commentExtensible w16cex:durableId="5CEBC5DB" w16cex:dateUtc="2026-05-01T10:45:00Z"/>
  <w16cex:commentExtensible w16cex:durableId="61BD86D0" w16cex:dateUtc="2026-05-01T10:42:00Z"/>
  <w16cex:commentExtensible w16cex:durableId="4959C5B3" w16cex:dateUtc="2026-05-01T10:46:00Z"/>
  <w16cex:commentExtensible w16cex:durableId="3C5DA1AA" w16cex:dateUtc="2026-05-01T10:41:00Z"/>
  <w16cex:commentExtensible w16cex:durableId="4F5CE8D1" w16cex:dateUtc="2026-05-01T10:54:00Z"/>
  <w16cex:commentExtensible w16cex:durableId="5B49D686" w16cex:dateUtc="2026-05-01T10:52:00Z"/>
  <w16cex:commentExtensible w16cex:durableId="251F12EE" w16cex:dateUtc="2026-05-01T10:56:00Z"/>
  <w16cex:commentExtensible w16cex:durableId="42D4BFDD" w16cex:dateUtc="2026-05-01T10:54:00Z"/>
  <w16cex:commentExtensible w16cex:durableId="6706BC8F" w16cex:dateUtc="2026-05-01T1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39EAF" w16cid:durableId="34F18105"/>
  <w16cid:commentId w16cid:paraId="40BB1727" w16cid:durableId="605EBDAA"/>
  <w16cid:commentId w16cid:paraId="1A15A5B3" w16cid:durableId="488D03BB"/>
  <w16cid:commentId w16cid:paraId="081BED40" w16cid:durableId="6C2D7B14"/>
  <w16cid:commentId w16cid:paraId="33BCB1E6" w16cid:durableId="66D6CDCF"/>
  <w16cid:commentId w16cid:paraId="1E3ECD96" w16cid:durableId="36907365"/>
  <w16cid:commentId w16cid:paraId="02D93A3A" w16cid:durableId="70921090"/>
  <w16cid:commentId w16cid:paraId="257E49B7" w16cid:durableId="3026B122"/>
  <w16cid:commentId w16cid:paraId="110FF23F" w16cid:durableId="0C54EBF5"/>
  <w16cid:commentId w16cid:paraId="4A4E8A78" w16cid:durableId="2E671CB9"/>
  <w16cid:commentId w16cid:paraId="1A058856" w16cid:durableId="5CEBC5DB"/>
  <w16cid:commentId w16cid:paraId="7FD0C07C" w16cid:durableId="61BD86D0"/>
  <w16cid:commentId w16cid:paraId="5F138DC9" w16cid:durableId="4959C5B3"/>
  <w16cid:commentId w16cid:paraId="737D77E7" w16cid:durableId="3C5DA1AA"/>
  <w16cid:commentId w16cid:paraId="13FE85CD" w16cid:durableId="4F5CE8D1"/>
  <w16cid:commentId w16cid:paraId="74C992F0" w16cid:durableId="5B49D686"/>
  <w16cid:commentId w16cid:paraId="0492569A" w16cid:durableId="251F12EE"/>
  <w16cid:commentId w16cid:paraId="40BCD306" w16cid:durableId="42D4BFDD"/>
  <w16cid:commentId w16cid:paraId="3FBF217D" w16cid:durableId="6706BC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4138C"/>
    <w:multiLevelType w:val="multilevel"/>
    <w:tmpl w:val="34E0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0624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s, Carlo (Stud. FdR)">
    <w15:presenceInfo w15:providerId="AD" w15:userId="S::c.raps@student.maastrichtuniversity.nl::9ece568b-3fe7-43bb-b1c4-f13509968c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E4"/>
    <w:rsid w:val="00074577"/>
    <w:rsid w:val="001D38A0"/>
    <w:rsid w:val="00286EF4"/>
    <w:rsid w:val="002A6335"/>
    <w:rsid w:val="002B7ADC"/>
    <w:rsid w:val="003361A0"/>
    <w:rsid w:val="003A05DC"/>
    <w:rsid w:val="003F1776"/>
    <w:rsid w:val="005C40DE"/>
    <w:rsid w:val="006675FF"/>
    <w:rsid w:val="00750989"/>
    <w:rsid w:val="0083708E"/>
    <w:rsid w:val="008F7E09"/>
    <w:rsid w:val="00906CD8"/>
    <w:rsid w:val="009530EC"/>
    <w:rsid w:val="009D1DF1"/>
    <w:rsid w:val="009D7D63"/>
    <w:rsid w:val="009E7BE4"/>
    <w:rsid w:val="00A8372A"/>
    <w:rsid w:val="00A96612"/>
    <w:rsid w:val="00B6696F"/>
    <w:rsid w:val="00C425BB"/>
    <w:rsid w:val="00C44D36"/>
    <w:rsid w:val="00C65E1E"/>
    <w:rsid w:val="00CE3A07"/>
    <w:rsid w:val="00DD1843"/>
    <w:rsid w:val="00E4491D"/>
    <w:rsid w:val="00E91A99"/>
    <w:rsid w:val="00F35C3D"/>
    <w:rsid w:val="00F8316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BB6A"/>
  <w15:chartTrackingRefBased/>
  <w15:docId w15:val="{5DB42EE4-AF71-4573-8749-819434F7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A07"/>
    <w:rPr>
      <w:rFonts w:eastAsiaTheme="majorEastAsia" w:cstheme="majorBidi"/>
      <w:color w:val="272727" w:themeColor="text1" w:themeTint="D8"/>
    </w:rPr>
  </w:style>
  <w:style w:type="paragraph" w:styleId="Title">
    <w:name w:val="Title"/>
    <w:basedOn w:val="Normal"/>
    <w:next w:val="Normal"/>
    <w:link w:val="TitleChar"/>
    <w:uiPriority w:val="10"/>
    <w:qFormat/>
    <w:rsid w:val="00CE3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A07"/>
    <w:pPr>
      <w:spacing w:before="160"/>
      <w:jc w:val="center"/>
    </w:pPr>
    <w:rPr>
      <w:i/>
      <w:iCs/>
      <w:color w:val="404040" w:themeColor="text1" w:themeTint="BF"/>
    </w:rPr>
  </w:style>
  <w:style w:type="character" w:customStyle="1" w:styleId="QuoteChar">
    <w:name w:val="Quote Char"/>
    <w:basedOn w:val="DefaultParagraphFont"/>
    <w:link w:val="Quote"/>
    <w:uiPriority w:val="29"/>
    <w:rsid w:val="00CE3A07"/>
    <w:rPr>
      <w:i/>
      <w:iCs/>
      <w:color w:val="404040" w:themeColor="text1" w:themeTint="BF"/>
    </w:rPr>
  </w:style>
  <w:style w:type="paragraph" w:styleId="ListParagraph">
    <w:name w:val="List Paragraph"/>
    <w:basedOn w:val="Normal"/>
    <w:uiPriority w:val="34"/>
    <w:qFormat/>
    <w:rsid w:val="00CE3A07"/>
    <w:pPr>
      <w:ind w:left="720"/>
      <w:contextualSpacing/>
    </w:pPr>
  </w:style>
  <w:style w:type="character" w:styleId="IntenseEmphasis">
    <w:name w:val="Intense Emphasis"/>
    <w:basedOn w:val="DefaultParagraphFont"/>
    <w:uiPriority w:val="21"/>
    <w:qFormat/>
    <w:rsid w:val="00CE3A07"/>
    <w:rPr>
      <w:i/>
      <w:iCs/>
      <w:color w:val="0F4761" w:themeColor="accent1" w:themeShade="BF"/>
    </w:rPr>
  </w:style>
  <w:style w:type="paragraph" w:styleId="IntenseQuote">
    <w:name w:val="Intense Quote"/>
    <w:basedOn w:val="Normal"/>
    <w:next w:val="Normal"/>
    <w:link w:val="IntenseQuoteChar"/>
    <w:uiPriority w:val="30"/>
    <w:qFormat/>
    <w:rsid w:val="00CE3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A07"/>
    <w:rPr>
      <w:i/>
      <w:iCs/>
      <w:color w:val="0F4761" w:themeColor="accent1" w:themeShade="BF"/>
    </w:rPr>
  </w:style>
  <w:style w:type="character" w:styleId="IntenseReference">
    <w:name w:val="Intense Reference"/>
    <w:basedOn w:val="DefaultParagraphFont"/>
    <w:uiPriority w:val="32"/>
    <w:qFormat/>
    <w:rsid w:val="00CE3A07"/>
    <w:rPr>
      <w:b/>
      <w:bCs/>
      <w:smallCaps/>
      <w:color w:val="0F4761" w:themeColor="accent1" w:themeShade="BF"/>
      <w:spacing w:val="5"/>
    </w:rPr>
  </w:style>
  <w:style w:type="paragraph" w:customStyle="1" w:styleId="font-claude-response-body">
    <w:name w:val="font-claude-response-body"/>
    <w:basedOn w:val="Normal"/>
    <w:rsid w:val="00C65E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65E1E"/>
    <w:rPr>
      <w:b/>
      <w:bCs/>
    </w:rPr>
  </w:style>
  <w:style w:type="character" w:customStyle="1" w:styleId="self-center">
    <w:name w:val="self-center"/>
    <w:basedOn w:val="DefaultParagraphFont"/>
    <w:rsid w:val="00C65E1E"/>
  </w:style>
  <w:style w:type="character" w:styleId="Hyperlink">
    <w:name w:val="Hyperlink"/>
    <w:basedOn w:val="DefaultParagraphFont"/>
    <w:uiPriority w:val="99"/>
    <w:unhideWhenUsed/>
    <w:rsid w:val="0083708E"/>
    <w:rPr>
      <w:color w:val="467886" w:themeColor="hyperlink"/>
      <w:u w:val="single"/>
    </w:rPr>
  </w:style>
  <w:style w:type="character" w:styleId="UnresolvedMention">
    <w:name w:val="Unresolved Mention"/>
    <w:basedOn w:val="DefaultParagraphFont"/>
    <w:uiPriority w:val="99"/>
    <w:semiHidden/>
    <w:unhideWhenUsed/>
    <w:rsid w:val="0083708E"/>
    <w:rPr>
      <w:color w:val="605E5C"/>
      <w:shd w:val="clear" w:color="auto" w:fill="E1DFDD"/>
    </w:rPr>
  </w:style>
  <w:style w:type="character" w:styleId="CommentReference">
    <w:name w:val="annotation reference"/>
    <w:basedOn w:val="DefaultParagraphFont"/>
    <w:uiPriority w:val="99"/>
    <w:semiHidden/>
    <w:unhideWhenUsed/>
    <w:rsid w:val="002B7ADC"/>
    <w:rPr>
      <w:sz w:val="16"/>
      <w:szCs w:val="16"/>
    </w:rPr>
  </w:style>
  <w:style w:type="paragraph" w:styleId="CommentText">
    <w:name w:val="annotation text"/>
    <w:basedOn w:val="Normal"/>
    <w:link w:val="CommentTextChar"/>
    <w:uiPriority w:val="99"/>
    <w:semiHidden/>
    <w:unhideWhenUsed/>
    <w:rsid w:val="002B7ADC"/>
    <w:pPr>
      <w:spacing w:line="240" w:lineRule="auto"/>
    </w:pPr>
    <w:rPr>
      <w:sz w:val="20"/>
      <w:szCs w:val="20"/>
    </w:rPr>
  </w:style>
  <w:style w:type="character" w:customStyle="1" w:styleId="CommentTextChar">
    <w:name w:val="Comment Text Char"/>
    <w:basedOn w:val="DefaultParagraphFont"/>
    <w:link w:val="CommentText"/>
    <w:uiPriority w:val="99"/>
    <w:semiHidden/>
    <w:rsid w:val="002B7ADC"/>
    <w:rPr>
      <w:sz w:val="20"/>
      <w:szCs w:val="20"/>
    </w:rPr>
  </w:style>
  <w:style w:type="paragraph" w:styleId="CommentSubject">
    <w:name w:val="annotation subject"/>
    <w:basedOn w:val="CommentText"/>
    <w:next w:val="CommentText"/>
    <w:link w:val="CommentSubjectChar"/>
    <w:uiPriority w:val="99"/>
    <w:semiHidden/>
    <w:unhideWhenUsed/>
    <w:rsid w:val="002B7ADC"/>
    <w:rPr>
      <w:b/>
      <w:bCs/>
    </w:rPr>
  </w:style>
  <w:style w:type="character" w:customStyle="1" w:styleId="CommentSubjectChar">
    <w:name w:val="Comment Subject Char"/>
    <w:basedOn w:val="CommentTextChar"/>
    <w:link w:val="CommentSubject"/>
    <w:uiPriority w:val="99"/>
    <w:semiHidden/>
    <w:rsid w:val="002B7A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19</Pages>
  <Words>10620</Words>
  <Characters>53421</Characters>
  <Application>Microsoft Office Word</Application>
  <DocSecurity>0</DocSecurity>
  <Lines>1090</Lines>
  <Paragraphs>444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Raps, Carlo (Stud. FdR)</cp:lastModifiedBy>
  <cp:revision>3</cp:revision>
  <dcterms:created xsi:type="dcterms:W3CDTF">2026-04-14T08:29:00Z</dcterms:created>
  <dcterms:modified xsi:type="dcterms:W3CDTF">2026-05-01T12:50:00Z</dcterms:modified>
</cp:coreProperties>
</file>