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UNIVERSIDADE FEDERAL DE CAMPINA GRANDE</w:t>
        <w:br w:type="textWrapping"/>
        <w:t xml:space="preserve">CENTRO DE ENGENHARIA ELÉTRICA E INFORMÁTICA</w:t>
        <w:br w:type="textWrapping"/>
        <w:t xml:space="preserve">CURSO DE GRADUAÇÃO EM ENGENHARIA ELÉTRICA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40" w:lineRule="auto"/>
        <w:jc w:val="center"/>
        <w:rPr/>
      </w:pPr>
      <w:r w:rsidDel="00000000" w:rsidR="00000000" w:rsidRPr="00000000">
        <w:rPr>
          <w:rtl w:val="0"/>
        </w:rPr>
        <w:t xml:space="preserve">Carlos Renan Correia Fidelis</w:t>
        <w:br w:type="textWrapping"/>
        <w:t xml:space="preserve">Carlos Elias Fialho de Lima</w:t>
        <w:br w:type="textWrapping"/>
        <w:t xml:space="preserve">Pablo Daniel Nascimento Vieira</w:t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  <w:t xml:space="preserve">CONEXÕES EXTERNAS DA PLACA</w:t>
        <w:br w:type="textWrapping"/>
        <w:t xml:space="preserve">CM5 E RP2040</w:t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Vistas 3D de J104 J103 JP100 JP101 e SW1000</w:t>
        <w:br w:type="textWrapping"/>
        <w:t xml:space="preserve">Complemento ao relatório do controlador MZM </w:t>
      </w:r>
    </w:p>
    <w:p w:rsidR="00000000" w:rsidDel="00000000" w:rsidP="00000000" w:rsidRDefault="00000000" w:rsidRPr="00000000" w14:paraId="00000005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3600000"/>
            <wp:effectExtent b="0" l="0" r="0" t="0"/>
            <wp:docPr descr="Montagem ilustrativa com ventilador, display e chave externa." id="1" name="image3.png"/>
            <a:graphic>
              <a:graphicData uri="http://schemas.openxmlformats.org/drawingml/2006/picture">
                <pic:pic>
                  <pic:nvPicPr>
                    <pic:cNvPr descr="Montagem ilustrativa com ventilador, display e chave externa.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 – Montagem ilustrativa com ventilador, display e chave externa.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2.00000000000003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2.00000000000003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2.00000000000003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2.00000000000003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2.00000000000003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Campina Grande – PB</w:t>
        <w:br w:type="textWrapping"/>
        <w:t xml:space="preserve">26 de outubro de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 Como ler as conexões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Para a montagem de uso normal, JP100 e JP101 ficam abertos. J104 recebe um ventilador de 5 V e quatro fios; J103 pode receber um display I²C de 3,3 V. Em SW1000, uma chave externa permite abrir o caminho de alimentação das bobinas dos relés. Essa é a configuração mostrada na capa, ainda com a chave aberta.</w:t>
      </w:r>
    </w:p>
    <w:p w:rsidR="00000000" w:rsidDel="00000000" w:rsidP="00000000" w:rsidRDefault="00000000" w:rsidRPr="00000000" w14:paraId="00000010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2625" cy="3273908"/>
            <wp:effectExtent b="0" l="0" r="0" t="0"/>
            <wp:docPr descr="Localização dos cinco pontos de conexão na placa." id="3" name="image7.png"/>
            <a:graphic>
              <a:graphicData uri="http://schemas.openxmlformats.org/drawingml/2006/picture">
                <pic:pic>
                  <pic:nvPicPr>
                    <pic:cNvPr descr="Localização dos cinco pontos de conexão na placa." id="0" name="image7.png"/>
                    <pic:cNvPicPr preferRelativeResize="0"/>
                  </pic:nvPicPr>
                  <pic:blipFill>
                    <a:blip r:embed="rId7"/>
                    <a:srcRect b="6810" l="0" r="0" t="777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73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 – Localização dos cinco pontos de conexão na placa.</w:t>
      </w:r>
    </w:p>
    <w:tbl>
      <w:tblPr>
        <w:tblStyle w:val="Table1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134"/>
        <w:gridCol w:w="2835"/>
        <w:gridCol w:w="5102"/>
        <w:tblGridChange w:id="0">
          <w:tblGrid>
            <w:gridCol w:w="1134"/>
            <w:gridCol w:w="2835"/>
            <w:gridCol w:w="5102"/>
          </w:tblGrid>
        </w:tblGridChange>
      </w:tblGrid>
      <w:tr>
        <w:trPr>
          <w:cantSplit w:val="1"/>
          <w:tblHeader w:val="1"/>
        </w:trPr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Ligação ilustrada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J104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Ventilador de quatro fios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Alimentação em 5 V, PWM e leitura de rotação.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J103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Display I²C de 3,3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Alimentação e comunicação com o CM5.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JP100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Ponte removível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Seleção do boot por USB.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JP101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Ponte removível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Manutenção com PMIC_EN em nível baixo.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SW1000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Chave externa de dois fios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Interrupção da alimentação das bobinas.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As vistas de JP100 e JP101 mostram situações separadas. Fechar os dois ao mesmo tempo não é a montagem de programação apresentada aqui.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2 J104 e o ventilador de 5 V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O exemplo usa um ventilador de 5 V com quatro fios. Dois alimentam o motor; os outros levam o comando de velocidade e devolvem a informação de rotação ao CM5. O cabo termina em um conector fêmea de quatro posições, com passo de 2,54 mm.</w:t>
      </w:r>
    </w:p>
    <w:p w:rsidR="00000000" w:rsidDel="00000000" w:rsidP="00000000" w:rsidRDefault="00000000" w:rsidRPr="00000000" w14:paraId="00000028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840000"/>
            <wp:effectExtent b="0" l="0" r="0" t="0"/>
            <wp:docPr descr="Ventilador conectado a J104 e identificação do pino 1." id="2" name="image4.png"/>
            <a:graphic>
              <a:graphicData uri="http://schemas.openxmlformats.org/drawingml/2006/picture">
                <pic:pic>
                  <pic:nvPicPr>
                    <pic:cNvPr descr="Ventilador conectado a J104 e identificação do pino 1.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 – Ventilador conectado a J104 e identificação do pino 1.</w:t>
        <w:br w:type="textWrapping"/>
      </w:r>
    </w:p>
    <w:tbl>
      <w:tblPr>
        <w:tblStyle w:val="Table2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37"/>
        <w:gridCol w:w="2835"/>
        <w:gridCol w:w="5499"/>
        <w:tblGridChange w:id="0">
          <w:tblGrid>
            <w:gridCol w:w="737"/>
            <w:gridCol w:w="2835"/>
            <w:gridCol w:w="5499"/>
          </w:tblGrid>
        </w:tblGridChange>
      </w:tblGrid>
      <w:tr>
        <w:trPr>
          <w:cantSplit w:val="1"/>
          <w:tblHeader w:val="1"/>
        </w:trPr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Rede da placa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Ligação no ventilador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Retorno da alimentação.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+5V_SYS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Entrada de alimentação de 5 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CM5_FAN_TACH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Saída de tacômetro do ventilador.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CM5_FAN_PWM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Entrada de controle PWM do ventilador.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A cor dos fios ajuda a acompanhar a imagem, mas a montagem deve seguir a função de cada terminal. O header da placa não garante encaixe direto com o plugue de um ventilador comercial. Confira a pinagem antes de montar o cabo ou o adaptador.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Escolha um modelo cujo PWM e tacômetro sejam compatíveis com a interface do CM5 [4]. Confira também a corrente de partida, as trilhas e os contatos. A energia do motor vem de +5V_SYS; desligar o CM5 ou abrir SW1000 pode deixar esse ramo energizado.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3 J103 e o display I2C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J103 permite ligar um display I²C sem acrescentar uma fonte externa de 3,3 V. A alimentação sai do próprio CM5. Por isso, o display só terá essa tensão disponível quando o módulo estiver instalado e com o ramo CM5_3V3 ativo.</w:t>
      </w:r>
    </w:p>
    <w:p w:rsidR="00000000" w:rsidDel="00000000" w:rsidP="00000000" w:rsidRDefault="00000000" w:rsidRPr="00000000" w14:paraId="0000003F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840000"/>
            <wp:effectExtent b="0" l="0" r="0" t="0"/>
            <wp:docPr descr="Display de 3,3 V ligado às quatro vias de J103." id="5" name="image6.png"/>
            <a:graphic>
              <a:graphicData uri="http://schemas.openxmlformats.org/drawingml/2006/picture">
                <pic:pic>
                  <pic:nvPicPr>
                    <pic:cNvPr descr="Display de 3,3 V ligado às quatro vias de J103.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4 – Display de 3,3 V ligado às quatro vias de J103.</w:t>
        <w:br w:type="textWrapping"/>
      </w:r>
    </w:p>
    <w:tbl>
      <w:tblPr>
        <w:tblStyle w:val="Table3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37"/>
        <w:gridCol w:w="2835"/>
        <w:gridCol w:w="5499"/>
        <w:tblGridChange w:id="0">
          <w:tblGrid>
            <w:gridCol w:w="737"/>
            <w:gridCol w:w="2835"/>
            <w:gridCol w:w="5499"/>
          </w:tblGrid>
        </w:tblGridChange>
      </w:tblGrid>
      <w:tr>
        <w:trPr>
          <w:cantSplit w:val="1"/>
          <w:tblHeader w:val="1"/>
        </w:trPr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Rede da placa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Ligação no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CM5_3V3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VCC de um módulo especificado para 3,3 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GND do módulo.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CM5_SDA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SDA, linha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CM5_SCL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SCL, linha de clock.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O display deve aceitar 3,3 V tanto na alimentação quanto nas linhas de comunicação. Verifique para onde vão os resistores de pull-up do módulo: SDA e SCL devem permanecer no domínio de 3,3 V. A ordem dos pinos do display pode ser diferente da ordem de J103; faça a correspondência pelos nomes.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pino 1 é uma saída. Não ligue nele outra fonte de 3,3 V nem os 5 V de J104. Antes de escolher o display, confira o consumo disponível nesse ramo. Depois da ligação, ainda será preciso habilitar o barramento I²C e configurar endereço e driver no software; a tela da figura é apenas ilustrativa.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4 JP100 e a programação do CM5</w:t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  <w:t xml:space="preserve">JP100 recebe uma ponte removível de dois contatos, com passo de 2,54 mm. Ao unir CM5_BOOT_N ao GND antes de ligar a placa, ela seleciona a inicialização por USB. O computador se conecta a J102 para executar o procedimento adequado à variante do CM5 [5].</w:t>
      </w:r>
    </w:p>
    <w:p w:rsidR="00000000" w:rsidDel="00000000" w:rsidP="00000000" w:rsidRDefault="00000000" w:rsidRPr="00000000" w14:paraId="00000056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3600000"/>
            <wp:effectExtent b="0" l="0" r="0" t="0"/>
            <wp:docPr descr="JP100 fechado para boot por USB, com JP101 aberto." id="4" name="image8.png"/>
            <a:graphic>
              <a:graphicData uri="http://schemas.openxmlformats.org/drawingml/2006/picture">
                <pic:pic>
                  <pic:nvPicPr>
                    <pic:cNvPr descr="JP100 fechado para boot por USB, com JP101 aberto.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5 – JP100 fechado para boot por USB, com JP101 aberto.</w:t>
        <w:br w:type="textWrapping"/>
      </w:r>
    </w:p>
    <w:tbl>
      <w:tblPr>
        <w:tblStyle w:val="Table4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37"/>
        <w:gridCol w:w="2551"/>
        <w:gridCol w:w="5783"/>
        <w:tblGridChange w:id="0">
          <w:tblGrid>
            <w:gridCol w:w="737"/>
            <w:gridCol w:w="2551"/>
            <w:gridCol w:w="5783"/>
          </w:tblGrid>
        </w:tblGridChange>
      </w:tblGrid>
      <w:tr>
        <w:trPr>
          <w:cantSplit w:val="1"/>
          <w:tblHeader w:val="1"/>
        </w:trPr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Efeito da ponte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CM5_BOOT_N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Mantém o sinal de seleção em nível baixo.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Referência para o fechamento da ponte.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Com a placa desligada, instale a ponte em JP100 e confirme que JP101 está aberto. Mantenha também a chave de SW1000 aberta. Ligue um cabo USB de dados entre o computador e J102; a alimentação principal da placa continua entrando por J200, em 15 V.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  <w:t xml:space="preserve">Execute o procedimento de boot ou gravação correspondente ao módulo. A variante CM5 Lite não tem eMMC, então não deve ser tratada como um CM5 com armazenamento eMMC. Ao terminar, desligue a placa, retire a ponte de JP100 e só então faça a partida normal.</w:t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ponte azul da imagem é apenas uma forma de distinguir o uso de programação. Sua cor não define a função elétrica.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5 JP101 e a manutenção do CM5</w:t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  <w:t xml:space="preserve">JP101 une CM5_PMIC_EN ao GND. Com a ponte instalada, o sinal fica baixo e o CM5 entra no estado de menor consumo descrito pelo fabricante, após o encerramento correto do sistema operacional [4]. Durante o uso normal e a programação por JP100, deixe JP101 aberto.</w:t>
      </w:r>
    </w:p>
    <w:p w:rsidR="00000000" w:rsidDel="00000000" w:rsidP="00000000" w:rsidRDefault="00000000" w:rsidRPr="00000000" w14:paraId="00000068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3600000"/>
            <wp:effectExtent b="0" l="0" r="0" t="0"/>
            <wp:docPr descr="Ponte de manutenção em JP101, com JP100 aberto." id="7" name="image2.png"/>
            <a:graphic>
              <a:graphicData uri="http://schemas.openxmlformats.org/drawingml/2006/picture">
                <pic:pic>
                  <pic:nvPicPr>
                    <pic:cNvPr descr="Ponte de manutenção em JP101, com JP100 aberto.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6 – Ponte de manutenção em JP101, com JP100 aberto.</w:t>
        <w:br w:type="textWrapping"/>
      </w:r>
    </w:p>
    <w:tbl>
      <w:tblPr>
        <w:tblStyle w:val="Table5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37"/>
        <w:gridCol w:w="2551"/>
        <w:gridCol w:w="5783"/>
        <w:tblGridChange w:id="0">
          <w:tblGrid>
            <w:gridCol w:w="737"/>
            <w:gridCol w:w="2551"/>
            <w:gridCol w:w="5783"/>
          </w:tblGrid>
        </w:tblGridChange>
      </w:tblGrid>
      <w:tr>
        <w:trPr>
          <w:cantSplit w:val="1"/>
          <w:tblHeader w:val="1"/>
        </w:trPr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CM5_PMIC_EN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Entrada de controle do estado de alimentação do CM5.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Referência para manter PMIC_EN baixo.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  <w:t xml:space="preserve">Para preparar essa condição de manutenção, encerre o sistema, retire a alimentação da placa e instale a ponte. Se a placa voltar a ser alimentada com JP101 fechado, o CM5 permanece impedido de operar normalmente. Retire a alimentação novamente antes de remover a ponte e retomar o uso.</w:t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  <w:t xml:space="preserve">JP101 atua no módulo. A entrada de 15 V e outros ramos da placa podem continuar energizados quando J200 está alimentado, inclusive +5V_SYS. Para mexer na fiação ou nos componentes, retire a alimentação principal; não use JP101 como garantia de que a placa inteira está sem tensão.</w:t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ponte vermelha serve para identificar visualmente essa condição. JP101 não é o botão de reset do Pico e não deve ser confundido com SW300.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6 SW1000 e a chave externa</w:t>
      </w:r>
    </w:p>
    <w:p w:rsidR="00000000" w:rsidDel="00000000" w:rsidP="00000000" w:rsidRDefault="00000000" w:rsidRPr="00000000" w14:paraId="00000079">
      <w:pPr>
        <w:spacing w:after="160" w:lineRule="auto"/>
        <w:rPr/>
      </w:pPr>
      <w:r w:rsidDel="00000000" w:rsidR="00000000" w:rsidRPr="00000000">
        <w:rPr>
          <w:rtl w:val="0"/>
        </w:rPr>
        <w:t xml:space="preserve">SW1000 tem dois pinos no caminho de alimentação das bobinas dos três relés. O exemplo substitui a ponte local por uma chave SPST de contato seco, ligada por dois fios. Ao abrir a chave, esse caminho é interrompido.</w:t>
      </w:r>
    </w:p>
    <w:p w:rsidR="00000000" w:rsidDel="00000000" w:rsidP="00000000" w:rsidRDefault="00000000" w:rsidRPr="00000000" w14:paraId="0000007A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840000"/>
            <wp:effectExtent b="0" l="0" r="0" t="0"/>
            <wp:docPr descr="Chave externa aberta, interrompendo a alimentação das bobinas." id="6" name="image1.png"/>
            <a:graphic>
              <a:graphicData uri="http://schemas.openxmlformats.org/drawingml/2006/picture">
                <pic:pic>
                  <pic:nvPicPr>
                    <pic:cNvPr descr="Chave externa aberta, interrompendo a alimentação das bobinas.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7 – Chave externa aberta, interrompendo a alimentação das bobinas.</w:t>
        <w:br w:type="textWrapping"/>
      </w:r>
    </w:p>
    <w:tbl>
      <w:tblPr>
        <w:tblStyle w:val="Table6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37"/>
        <w:gridCol w:w="2551"/>
        <w:gridCol w:w="5783"/>
        <w:tblGridChange w:id="0">
          <w:tblGrid>
            <w:gridCol w:w="737"/>
            <w:gridCol w:w="2551"/>
            <w:gridCol w:w="5783"/>
          </w:tblGrid>
        </w:tblGridChange>
      </w:tblGrid>
      <w:tr>
        <w:trPr>
          <w:cantSplit w:val="1"/>
          <w:tblHeader w:val="1"/>
        </w:trPr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Ligação no cabo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+5V_SYS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Um terminal do contato da chave.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COIL_5V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O outro terminal do mesmo contato.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tl w:val="0"/>
        </w:rPr>
        <w:t xml:space="preserve">Nenhum desses dois pinos é GND. A chave apenas une ou separa +5V_SYS e COIL_5V; não injete uma tensão externa nesse conector. Se usar uma chave iluminada, mantenha o circuito da lâmpada separado e confira sua ligação no datasheet.</w:t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  <w:t xml:space="preserve">Use um cabo fêmea de duas posições, com passo de 2,54 mm, e contatos especificados para a corrente contínua conjunta das bobinas. A capacidade de interrupção da chave também precisa atender à carga. Evite deixar uma ponte em paralelo com ela, pois isso elimina o efeito de abrir a chave.</w:t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Na montagem ilustrada, a chave é de ação mantida: ela permanece na posição escolhida. Identifique no painel as posições aberta e fechada para que o estado do comando fique claro durante o ensaio.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7 O que acontece ao fechar a chave</w:t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  <w:t xml:space="preserve">Fechar a chave de SW1000 restabelece o caminho de +5V_SYS até COIL_5V. Para energizar os relés, Q1000 também precisa conduzir. Essa condição depende de RELAY_EN, formado pelos sinais do watchdog do CM5, do Pico e pela indicação de ausência de falha.</w:t>
      </w:r>
    </w:p>
    <w:p w:rsidR="00000000" w:rsidDel="00000000" w:rsidP="00000000" w:rsidRDefault="00000000" w:rsidRPr="00000000" w14:paraId="0000008C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840000"/>
            <wp:effectExtent b="0" l="0" r="0" t="0"/>
            <wp:docPr descr="Chave fechada, com a atuação dos relés ainda dependente da lógica." id="8" name="image5.png"/>
            <a:graphic>
              <a:graphicData uri="http://schemas.openxmlformats.org/drawingml/2006/picture">
                <pic:pic>
                  <pic:nvPicPr>
                    <pic:cNvPr descr="Chave fechada, com a atuação dos relés ainda dependente da lógica.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8 – Chave fechada, com a atuação dos relés ainda dependente da lógica.</w:t>
        <w:br w:type="textWrapping"/>
      </w:r>
    </w:p>
    <w:tbl>
      <w:tblPr>
        <w:tblStyle w:val="Table7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361"/>
        <w:gridCol w:w="2324"/>
        <w:gridCol w:w="5386"/>
        <w:tblGridChange w:id="0">
          <w:tblGrid>
            <w:gridCol w:w="1361"/>
            <w:gridCol w:w="2324"/>
            <w:gridCol w:w="5386"/>
          </w:tblGrid>
        </w:tblGridChange>
      </w:tblGrid>
      <w:tr>
        <w:trPr>
          <w:cantSplit w:val="1"/>
          <w:tblHeader w:val="1"/>
        </w:trPr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SW1000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Permissão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Estado previsto dos relés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Qualquer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Bobinas sem alimentação pelo caminho de SW1000.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RELAY_EN 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Bobinas desenergizadas, pois Q1000 não é habilitado.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RELAY_EN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Bobinas energizadas, com alimentação e circuito íntegros.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RELAY_EN = WD_MCU ∧ WD_CM5 ∧ FAULT_N. O Pico também participa do bloqueio dos temporizadores por MCU_ARM. Os três canais têm comandos de BIAS independentes, mas compartilham essa autorização de acionamento [1].</w:t>
      </w:r>
    </w:p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Com o relé em repouso, a saída fica ligada ao GND por 1 kΩ. O driver antes do contato pode continuar apresentando tensão. Na bancada, compare TP700 com TP701 no canal I, TP800 com TP801 no canal Q e TP900 com TP901 no canal PHI. Essa comparação distingue o comando interno da tensão entregue ao conector.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8 Montagem e conferência na bancada</w:t>
      </w:r>
    </w:p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>
          <w:rtl w:val="0"/>
        </w:rPr>
        <w:t xml:space="preserve">Comece com a fonte desligada, o modulador desconectado e a chave externa aberta. Separe o ensaio dos acessórios do teste de liberação do BIAS. Assim, uma falha no cabo do display ou do ventilador pode ser localizada antes de envolver as saídas analógicas.</w:t>
      </w:r>
    </w:p>
    <w:p w:rsidR="00000000" w:rsidDel="00000000" w:rsidP="00000000" w:rsidRDefault="00000000" w:rsidRPr="00000000" w14:paraId="000000A0">
      <w:pPr>
        <w:spacing w:after="180" w:lineRule="auto"/>
        <w:rPr/>
      </w:pPr>
      <w:r w:rsidDel="00000000" w:rsidR="00000000" w:rsidRPr="00000000">
        <w:rPr>
          <w:rtl w:val="0"/>
        </w:rPr>
        <w:t xml:space="preserve">1. Identifique o pino 1 de cada header na placa. Compare a serigrafia, a pinagem deste relatório e o esquemático da revisão usada na montagem. Não deduza a ordem apenas pela cor dos fios.</w:t>
      </w:r>
    </w:p>
    <w:p w:rsidR="00000000" w:rsidDel="00000000" w:rsidP="00000000" w:rsidRDefault="00000000" w:rsidRPr="00000000" w14:paraId="000000A1">
      <w:pPr>
        <w:spacing w:after="180" w:lineRule="auto"/>
        <w:rPr/>
      </w:pPr>
      <w:r w:rsidDel="00000000" w:rsidR="00000000" w:rsidRPr="00000000">
        <w:rPr>
          <w:rtl w:val="0"/>
        </w:rPr>
        <w:t xml:space="preserve">2. Monte os cabos de J104, J103 e SW1000. Com tudo desenergizado, confira a continuidade de cada via e procure curtos entre alimentação e GND. Teste a abertura e o fechamento do contato da chave.</w:t>
      </w:r>
    </w:p>
    <w:p w:rsidR="00000000" w:rsidDel="00000000" w:rsidP="00000000" w:rsidRDefault="00000000" w:rsidRPr="00000000" w14:paraId="000000A2">
      <w:pPr>
        <w:spacing w:after="180" w:lineRule="auto"/>
        <w:rPr/>
      </w:pPr>
      <w:r w:rsidDel="00000000" w:rsidR="00000000" w:rsidRPr="00000000">
        <w:rPr>
          <w:rtl w:val="0"/>
        </w:rPr>
        <w:t xml:space="preserve">3. Deixe JP100 e JP101 abertos para a partida normal. Antes de conectar os acessórios, confirme as tensões: cerca de 5 V entre J104 pinos 2 e 1; cerca de 3,3 V entre J103 pinos 1 e 2, com o CM5 ativo. Desligue a placa para inserir os cabos.</w:t>
      </w:r>
    </w:p>
    <w:p w:rsidR="00000000" w:rsidDel="00000000" w:rsidP="00000000" w:rsidRDefault="00000000" w:rsidRPr="00000000" w14:paraId="000000A3">
      <w:pPr>
        <w:spacing w:after="180" w:lineRule="auto"/>
        <w:rPr/>
      </w:pPr>
      <w:r w:rsidDel="00000000" w:rsidR="00000000" w:rsidRPr="00000000">
        <w:rPr>
          <w:rtl w:val="0"/>
        </w:rPr>
        <w:t xml:space="preserve">4. Verifique o ventilador e depois o display. Confirme a resposta ao PWM e a leitura do tacômetro no software. Para o display, confira endereço I²C, driver e estabilidade da alimentação.</w:t>
      </w:r>
    </w:p>
    <w:p w:rsidR="00000000" w:rsidDel="00000000" w:rsidP="00000000" w:rsidRDefault="00000000" w:rsidRPr="00000000" w14:paraId="000000A4">
      <w:pPr>
        <w:spacing w:after="180" w:lineRule="auto"/>
        <w:rPr/>
      </w:pPr>
      <w:r w:rsidDel="00000000" w:rsidR="00000000" w:rsidRPr="00000000">
        <w:rPr>
          <w:rtl w:val="0"/>
        </w:rPr>
        <w:t xml:space="preserve">5. Ensaie os relés com carga de teste, comando de pequena amplitude e MZM desconectado. Feche a chave somente com as permissões lógicas presentes; depois abra e compare os pontos antes e depois dos contatos.</w:t>
      </w:r>
    </w:p>
    <w:p w:rsidR="00000000" w:rsidDel="00000000" w:rsidP="00000000" w:rsidRDefault="00000000" w:rsidRPr="00000000" w14:paraId="000000A5">
      <w:pPr>
        <w:spacing w:after="180" w:lineRule="auto"/>
        <w:rPr/>
      </w:pPr>
      <w:r w:rsidDel="00000000" w:rsidR="00000000" w:rsidRPr="00000000">
        <w:rPr>
          <w:rtl w:val="0"/>
        </w:rPr>
        <w:t xml:space="preserve">6. Registre a revisão da placa, os modelos dos acessórios, as tensões medidas e o estado dos jumpers. Teste os modos de programação e manutenção separadamente, sempre alterando as pontes com a placa desligada.</w:t>
      </w:r>
    </w:p>
    <w:tbl>
      <w:tblPr>
        <w:tblStyle w:val="Table8"/>
        <w:tblW w:w="90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572"/>
        <w:gridCol w:w="1191"/>
        <w:gridCol w:w="1191"/>
        <w:gridCol w:w="3118"/>
        <w:tblGridChange w:id="0">
          <w:tblGrid>
            <w:gridCol w:w="3572"/>
            <w:gridCol w:w="1191"/>
            <w:gridCol w:w="1191"/>
            <w:gridCol w:w="3118"/>
          </w:tblGrid>
        </w:tblGridChange>
      </w:tblGrid>
      <w:tr>
        <w:trPr>
          <w:cantSplit w:val="1"/>
          <w:tblHeader w:val="1"/>
        </w:trPr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JP100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JP101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Chave de SW1000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Partida e teste dos acessórios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Aberta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Programação por 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Aberta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Manutenção com PMIC_EN 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Aberta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Ensaio de BIAS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Fechada, com permissões válidas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No ensaio de BIAS, abrir a chave deve retirar a alimentação das bobinas mesmo com a lógica de autorização presente. O retorno da saída para perto de zero depende também da carga conectada e do tempo de acomodação; registre o que foi medido, sem tratar a vista 3D como resultado experimental.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9 Base técnica e referências</w:t>
      </w:r>
    </w:p>
    <w:p w:rsidR="00000000" w:rsidDel="00000000" w:rsidP="00000000" w:rsidRDefault="00000000" w:rsidRPr="00000000" w14:paraId="000000BE">
      <w:pPr>
        <w:spacing w:after="160" w:lineRule="auto"/>
        <w:rPr/>
      </w:pPr>
      <w:r w:rsidDel="00000000" w:rsidR="00000000" w:rsidRPr="00000000">
        <w:rPr>
          <w:rtl w:val="0"/>
        </w:rPr>
        <w:t xml:space="preserve">Os cinco headers têm passo de 2,54 mm na biblioteca da. As coordenadas abaixo localizam o pino 1 e ajudam a conferir a posição de cada destaque nas imagens.</w:t>
      </w:r>
    </w:p>
    <w:tbl>
      <w:tblPr>
        <w:tblStyle w:val="Table9"/>
        <w:tblW w:w="90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1"/>
          <w:tblHeader w:val="1"/>
        </w:trPr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Designador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 do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Y do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ef3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Número de pinos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J104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7,00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108,00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J103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7,00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93,00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JP100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7,00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70,00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JP101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9,00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63,00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SW1000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134,00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57,00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Rule="auto"/>
        <w:rPr/>
      </w:pPr>
      <w:r w:rsidDel="00000000" w:rsidR="00000000" w:rsidRPr="00000000">
        <w:rPr>
          <w:rtl w:val="0"/>
        </w:rPr>
        <w:t xml:space="preserve">Nesses footprints, os pinos seguintes avançam em passos de 2,54 mm no sentido de Y decrescente. A perspectiva das figuras muda a aparência dessa direção; na montagem, prevalecem a identificação do pino 1 e a tabela de ligação.</w:t>
      </w:r>
    </w:p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14" w:type="default"/>
      <w:pgSz w:h="16838" w:w="11906" w:orient="portrait"/>
      <w:pgMar w:bottom="1134" w:top="1701" w:left="1701" w:right="1134" w:header="709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200" w:before="0" w:line="276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60" w:before="200" w:line="276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widowControl w:val="1"/>
      <w:spacing w:after="240" w:line="276" w:lineRule="auto"/>
      <w:jc w:val="center"/>
    </w:pPr>
    <w:rPr>
      <w:rFonts w:ascii="Times New Roman" w:cs="Times New Roman" w:eastAsia="Times New Roman" w:hAnsi="Times New Roman"/>
      <w:b w:val="1"/>
      <w:bCs w:val="1"/>
      <w:color w:val="000000"/>
      <w:sz w:val="34"/>
      <w:szCs w:val="34"/>
    </w:rPr>
  </w:style>
  <w:style w:type="paragraph" w:styleId="Subtitle">
    <w:name w:val="Subtitle"/>
    <w:basedOn w:val="Normal"/>
    <w:next w:val="Normal"/>
    <w:pPr>
      <w:widowControl w:val="1"/>
      <w:spacing w:after="160" w:line="276" w:lineRule="auto"/>
    </w:pPr>
    <w:rPr>
      <w:rFonts w:ascii="Times New Roman" w:cs="Times New Roman" w:eastAsia="Times New Roman" w:hAnsi="Times New Roman"/>
      <w:i w:val="1"/>
      <w:i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