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涌现游戏界面与妖兽属性策划</w:t>
      </w:r>
    </w:p>
    <w:p>
      <w:pPr>
        <w:pStyle w:val="Subtitle"/>
      </w:pPr>
      <w:r>
        <w:t>版本 v0.2    2026年10月7日</w:t>
      </w:r>
    </w:p>
    <w:p>
      <w:r>
        <w:t>主界面以探索场景为主体，固定功能入口集中在底部：左侧妖兽仓库、中央召唤法阵、右侧符文书图鉴。点击入口后打开对应完整界面，关闭后返回原场景与原位置。召唤以引丝、结茧、孕动、破茧形成连续表现；妖兽通过身份、数值和位阶展示生成结果。</w:t>
      </w:r>
    </w:p>
    <w:p>
      <w:r>
        <w:t>本案用于首版界面与数值系统制作。图示为布局线框，属性、叠加比例和位阶阈值为初始测试值。妖兽内容聚焦属性与位阶，行为、技能和战斗动作不在本阶段配置。</w:t>
      </w:r>
    </w:p>
    <w:p>
      <w:pPr>
        <w:pStyle w:val="Heading1"/>
      </w:pPr>
      <w:r>
        <w:t>1 主界面与三个入口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2979900"/>
            <wp:docPr id="1" name="Picture 1" descr="图1 主界面只保留底部三个常驻功能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7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主界面只保留底部三个常驻功能按钮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706"/>
        <w:gridCol w:w="3288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打开内容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返回规则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妖兽仓库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左侧竖向妖兽列表，右侧属性展示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记住选中单位及列表位置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召唤法阵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盘面、符文、奇物、魔力、场地及结茧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保留结茧前的绘制方案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符文书图鉴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已知与未知页签、条目列表与详细页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记住页签及选中条目</w:t>
            </w:r>
          </w:p>
        </w:tc>
      </w:tr>
    </w:tbl>
    <w:p>
      <w:pPr>
        <w:spacing w:after="0"/>
      </w:pPr>
    </w:p>
    <w:p>
      <w:r>
        <w:t>场景中不设置常驻顶栏、左右侧栏、任务卡、属性卡或资源框。地点名称与交互提示贴近场景中的对象，在选择地点时短时出现；魔力、阵盘等级等详细信息放入对应功能界面。</w:t>
      </w:r>
    </w:p>
    <w:p>
      <w:pPr>
        <w:pStyle w:val="Heading1"/>
        <w:pageBreakBefore/>
      </w:pPr>
      <w:r>
        <w:t>2 召唤界面的布局与操作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3096000"/>
            <wp:docPr id="2" name="Picture 2" descr="图2 法阵盘面居中，左侧承载引导物与奇物，右侧集中显示本次召唤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mm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法阵盘面居中，左侧承载引导物与奇物，右侧集中显示本次召唤信息</w:t>
      </w:r>
    </w:p>
    <w:p>
      <w:r>
        <w:t>召唤界面覆盖主要场景区域。左侧放阵眼引导物、奇物匣和阵盘升级入口；中央放蜂窝盘面；右侧放资源账目、场地、预计位阶与属性预览。底部左侧为编辑操作，右侧为唯一主动作“结茧”。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742"/>
        <w:gridCol w:w="4535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必须显示的信息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盘面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蜂窝格、草稿、已刻入符文、奇物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总格数、已占格数、剩余空间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引导物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独立于蜂窝的一个阵眼槽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可生成主形态及可用范围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奇物匣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整块拖入，预览落点与冲突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占格数、数值影响及唯一性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结算栏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魔力、凝聚力、位阶、属性倾向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每项消耗与最终预计支出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编辑栏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撤回、取消、启停、移除、保存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当前操作反馈和不满足条件的原因</w:t>
            </w:r>
          </w:p>
        </w:tc>
      </w:tr>
    </w:tbl>
    <w:p>
      <w:pPr>
        <w:spacing w:after="0"/>
      </w:pPr>
    </w:p>
    <w:p>
      <w:pPr>
        <w:pStyle w:val="Heading2"/>
      </w:pPr>
      <w:r>
        <w:t>打开与关闭</w:t>
      </w:r>
    </w:p>
    <w:p>
      <w:r>
        <w:t>从允许召唤的地点进入后，场地按玩家实际所在位置锁定。打开界面暂停探索移动。关闭前保留未完成方案与预留魔力；再次打开继续编辑。战斗中可只读查看，但不能结茧。一次只打开一个完整功能界面，切换时不叠加多个遮罩。</w:t>
      </w:r>
    </w:p>
    <w:p>
      <w:pPr>
        <w:pStyle w:val="Heading1"/>
        <w:pageBreakBefore/>
      </w:pPr>
      <w:r>
        <w:t>3 绘制 魔力与数值预览</w:t>
      </w:r>
    </w:p>
    <w:p>
      <w:pPr>
        <w:pStyle w:val="Heading2"/>
      </w:pPr>
      <w:r>
        <w:t>绘制规则</w:t>
      </w:r>
    </w:p>
    <w:p>
      <w:r>
        <w:t>从空闲蜂窝起笔，连续经过相邻空格，同一笔不重复走同格。符文允许平移、六向旋转、镜像及反向笔顺。确认刻入后占用蜂窝；不同符文和奇物不能重叠。停用符文仍占格，移除才释放空间。无效笔画保留草稿供修正，结茧前必须完成或取消。</w:t>
      </w:r>
    </w:p>
    <w:p>
      <w:pPr>
        <w:pStyle w:val="Heading2"/>
      </w:pPr>
      <w:r>
        <w:t>魔力账目</w:t>
      </w:r>
    </w:p>
    <w:p>
      <w:r>
        <w:t>每绘制一格预留1魔力。撤回或移除返还对应预留，结茧确认时一次性实际扣除。奇物只占空间，不逐格消耗魔力。停用笔画仍保留，因此仍消耗其格数，但不提供属性与位阶贡献。资源不足时可继续删改，不能新增无法支付的格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5669"/>
        <w:gridCol w:w="2098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账目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持有魔力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尚未实际支出的总量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绘制预留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最终保留的符文格数，包括停用笔画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场地附加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不适配环境造成的额外费用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本次消耗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绘制预留加场地附加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结茧后余额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持有魔力减本次消耗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279</w:t>
            </w:r>
          </w:p>
        </w:tc>
      </w:tr>
    </w:tbl>
    <w:p>
      <w:pPr>
        <w:spacing w:after="0"/>
      </w:pPr>
    </w:p>
    <w:p>
      <w:r>
        <w:t>右侧直接显示“本次消耗21，结茧后剩余279”，不要求玩家自行相加。场地附加不增加凝聚力或位阶。水岸每枚启用余烬附加1魔力，火山每枚启用回潮附加1魔力；附加费用最多为启用符文格数的25%，向上取整。</w:t>
      </w:r>
    </w:p>
    <w:p>
      <w:pPr>
        <w:pStyle w:val="Heading2"/>
      </w:pPr>
      <w:r>
        <w:t>基础符文的纯属性版本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794"/>
        <w:gridCol w:w="1191"/>
        <w:gridCol w:w="4592"/>
        <w:gridCol w:w="1814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符文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格数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强度评级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单枚数值影响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元素倾向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余烬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攻击 +10%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火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回潮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生命 +10%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壁垒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防御 +5个百分点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疾风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攻速 +10%，移速 +10%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天钉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攻击 +15%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无</w:t>
            </w:r>
          </w:p>
        </w:tc>
      </w:tr>
    </w:tbl>
    <w:p>
      <w:pPr>
        <w:spacing w:after="0"/>
      </w:pPr>
    </w:p>
    <w:p>
      <w:r>
        <w:t>同类第1、2、3枚的数值贡献依次为100%、60%、30%，第4枚起不再增加属性。图鉴明确叠加与上限；阵面上同类符文合并显示最终增量。占位空间仍按每一枚计算。</w:t>
      </w:r>
    </w:p>
    <w:p>
      <w:pPr>
        <w:pStyle w:val="Heading1"/>
        <w:pageBreakBefore/>
      </w:pPr>
      <w:r>
        <w:t>4 召唤结茧与破茧表现</w:t>
      </w:r>
    </w:p>
    <w:p>
      <w:r>
        <w:t>玩家点击“结茧”后，法阵内的笔画化为丝线，汇入阵眼并包裹尚未成形的妖兽。茧体闭合、内侧出现轮廓、茧壳裂开，纸偶部件由内向外展开，最后形成完整妖兽。效果应能读出投入、包裹与显现的关系。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2244600"/>
            <wp:docPr id="3" name="Picture 3" descr="图3 引丝到破茧的四阶段表现，建议总长约2.6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co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4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引丝到破茧的四阶段表现，建议总长约2.6秒</w:t>
      </w:r>
    </w:p>
    <w:p>
      <w:pPr>
        <w:pStyle w:val="Heading2"/>
      </w:pPr>
      <w:r>
        <w:t>引丝与结茧</w:t>
      </w:r>
    </w:p>
    <w:p>
      <w:r>
        <w:t>引丝约0.4秒：格内笔画依次亮起，细线沿阵面向中心汇集。结茧约0.8秒：丝线交织成外壳，配合一次清晰的资源扣除反馈。元素仅通过丝线颜色、茧壳纹理和微弱环境颗粒表达，不能遮住核心轮廓。</w:t>
      </w:r>
    </w:p>
    <w:p>
      <w:pPr>
        <w:pStyle w:val="Heading2"/>
      </w:pPr>
      <w:r>
        <w:t>孕动与破茧</w:t>
      </w:r>
    </w:p>
    <w:p>
      <w:r>
        <w:t>孕动约0.6秒：茧内透出主形态剪影，产生一次轻微鼓动。破茧约0.8秒：裂缝出现，外壳分开，纸偶头、躯干、肢体逐步舒展。随后展示名称、主形态、位阶与核心属性，并提供“收入仓库”和“继续召唤”。不让玩家逐项领取同一只妖兽。</w:t>
      </w:r>
    </w:p>
    <w:p>
      <w:pPr>
        <w:pStyle w:val="Heading2"/>
      </w:pPr>
      <w:r>
        <w:t>结算与跳过</w:t>
      </w:r>
    </w:p>
    <w:p>
      <w:r>
        <w:t>确认结茧前检查有效符文、魔力、未完成草稿、引导物、地点许可和仓库空间。确认后扣费并锁定产出，关闭或重载不能重新抽取。首次完整播放，之后可跳过演出；跳过只缩短表现，不改变结果。系统异常须完整完成产出或完整回退扣款。</w:t>
      </w:r>
    </w:p>
    <w:p>
      <w:r>
        <w:t>位阶差异以茧体饱满度、丝线层次和破茧光量区分，使用同一套基本演出。初期不加入现实时间孵化、失败炸阵、养茧喂食或第二次进化。</w:t>
      </w:r>
    </w:p>
    <w:p>
      <w:pPr>
        <w:pStyle w:val="Heading1"/>
        <w:pageBreakBefore/>
      </w:pPr>
      <w:r>
        <w:t>5 主角阵盘的三次扩阵</w:t>
      </w:r>
    </w:p>
    <w:p>
      <w:r>
        <w:t>初始阵盘包含中心格与第一圈，共7格。主角可升级三次，每次向外增加一整圈蜂窝，最终达到半径4的61格盘面。界面统一显示“扩阵0／3”至“扩阵3／3”，与妖兽一至五阶分开命名。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2244600"/>
            <wp:docPr id="4" name="Picture 4" descr="图4 新增外圈用深色标出，格数依次为7、19、37、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ow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4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新增外圈用深色标出，格数依次为7、19、37、61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94"/>
        <w:gridCol w:w="1361"/>
        <w:gridCol w:w="1134"/>
        <w:gridCol w:w="4535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阵盘状态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半径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新增格数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总格数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建议解锁节点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初始阵盘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旅途准备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扩阵1／3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19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完成图书馆教学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扩阵2／3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18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37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击败遗迹守护者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扩阵3／3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61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完成高阶召唤仪式</w:t>
            </w:r>
          </w:p>
        </w:tc>
      </w:tr>
    </w:tbl>
    <w:p>
      <w:pPr>
        <w:spacing w:after="0"/>
      </w:pPr>
    </w:p>
    <w:p>
      <w:pPr>
        <w:pStyle w:val="Heading2"/>
      </w:pPr>
      <w:r>
        <w:t>升级操作与表现</w:t>
      </w:r>
    </w:p>
    <w:p>
      <w:r>
        <w:t>召唤界面的左下角提供“阵盘升级”，点击后展示条件、当前格数和升级后格数。达到对应进程时可主动确认扩阵；初期升级由探索进程解锁，不另扣魔力。确认后外圈边界显现，新增蜂窝由暗到亮依次展开，约1秒完成。满级显示“已完成全部扩阵”。</w:t>
      </w:r>
    </w:p>
    <w:p>
      <w:r>
        <w:t>升级保留中心与已有笔画坐标，只增加外圈空格。原布局、引导物、奇物位置与预留账目不因升级重置。正在结茧时不可升级；扩阵不追溯强化已经生成的妖兽。升级前展示“新增12格”等具体收益，避免只显示一个没有含义的等级加号。</w:t>
      </w:r>
    </w:p>
    <w:p>
      <w:pPr>
        <w:pStyle w:val="Heading2"/>
      </w:pPr>
      <w:r>
        <w:t>空间与符文开放</w:t>
      </w:r>
    </w:p>
    <w:p>
      <w:r>
        <w:t>7格阶段优先使用能完整放入小盘面的短图形，至少保证余烬、回潮与疾风的教学布局可用；壁垒和天钉在19格及更大盘面安排。图鉴条目显示“至少需要19格阵盘”等空间提示。是否能放入仍由实际几何和占用判断，不能只看剩余格数。</w:t>
      </w:r>
    </w:p>
    <w:p>
      <w:pPr>
        <w:pStyle w:val="Heading1"/>
        <w:pageBreakBefore/>
      </w:pPr>
      <w:r>
        <w:t>6 妖兽仓库的左右双栏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3096000"/>
            <wp:docPr id="5" name="Picture 5" descr="图5 左侧竖向选择妖兽，右侧在同一位置比较身份、位阶与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arehou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左侧竖向选择妖兽，右侧在同一位置比较身份、位阶与属性</w:t>
      </w:r>
    </w:p>
    <w:p>
      <w:r>
        <w:t>仓库打开后采用固定左右双栏：左侧约30%宽度为竖向列表，右侧约70%为当前妖兽详情。点击列表项仅更新右侧，不进入新的多层页面。进入仓库时优先选中上一次查看的个体，右侧不能默认空白。</w:t>
      </w:r>
    </w:p>
    <w:p>
      <w:pPr>
        <w:pStyle w:val="Heading2"/>
      </w:pPr>
      <w:r>
        <w:t>左侧列表</w:t>
      </w:r>
    </w:p>
    <w:p>
      <w:r>
        <w:t>每项显示小型头像、名字、位阶、主形态与状态。选中项以边框和底色同时强调；健康、负伤与已编入队伍用文字标记。列表可按位阶、名字或状态排序，排序后保留当前妖兽选择。仓库顶部显示当前数量与容量，建议容量20只。</w:t>
      </w:r>
    </w:p>
    <w:p>
      <w:pPr>
        <w:pStyle w:val="Heading2"/>
      </w:pPr>
      <w:r>
        <w:t>右侧详情</w:t>
      </w:r>
    </w:p>
    <w:p>
      <w:r>
        <w:t>上部显示妖兽预览、名字和位阶；中部固定显示生命、攻击、防御、攻速、移速；下部显示元素、体型、材质、结构信息与生成记录。数值的排列顺序对所有妖兽一致，点击数值可打开原地说明，不跳离当前个体。</w:t>
      </w:r>
    </w:p>
    <w:p>
      <w:r>
        <w:t>底部提供加入或移出队伍、改名、解契。负伤妖兽保留全部身份与数值，但不能编入出战队伍。解契确认显示个体名字与返还魔力，成功后选择相邻单位；最后一只被移除时显示空仓库说明。仓库满时先处理容量，再开始下一次结茧。</w:t>
      </w:r>
    </w:p>
    <w:p>
      <w:pPr>
        <w:pStyle w:val="Heading1"/>
        <w:pageBreakBefore/>
      </w:pPr>
      <w:r>
        <w:t>7 符文书图鉴的已知与未知页签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92000" cy="2941200"/>
            <wp:docPr id="6" name="Picture 6" descr="图6 页签切换条目集合，条目列表与详情保持固定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d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页签切换条目集合，条目列表与详情保持固定位置</w:t>
      </w:r>
    </w:p>
    <w:p>
      <w:pPr>
        <w:pStyle w:val="Heading2"/>
      </w:pPr>
      <w:r>
        <w:t>已知页签</w:t>
      </w:r>
    </w:p>
    <w:p>
      <w:r>
        <w:t>已知页展示已收录符文。左侧为条目列表，右侧为名称、蜂窝图形、格数、单枚数值增量、元素倾向、重复叠加和获得来源。正式图形以蜂窝节点展示，不能用装饰线代替可照画图。支持六向旋转与镜像查看；查询本身不会自动刻入阵面。</w:t>
      </w:r>
    </w:p>
    <w:p>
      <w:r>
        <w:t>每项效果同时给出文字与数值，例如“攻击提高10%，基础攻击20时提高2”。防御显示“提高5个百分点”，不能写成容易误解的“防御+5%”。大图形给出阵盘最低空间提示，玩家在小阵盘阶段仍可以阅读。</w:t>
      </w:r>
    </w:p>
    <w:p>
      <w:pPr>
        <w:pStyle w:val="Heading2"/>
      </w:pPr>
      <w:r>
        <w:t>未知页签</w:t>
      </w:r>
    </w:p>
    <w:p>
      <w:r>
        <w:t>未知页使用未解读占位条目，隐藏真实名称、完整图形和数值效果。条目只展示统一编号、未解读状态，以及已在探索中取得的泛化线索，例如“线索来自河岸遗迹”。未取得线索时统一写“尚无线索”，不直接给出完整召唤配方。</w:t>
      </w:r>
    </w:p>
    <w:p>
      <w:r>
        <w:t>玩家绘出有效但未收录的符文时，阵面允许生效，但不显示发现提示、专属颜色、名称或效果说明；未知条目不因此高亮、排序变化或转入已知。收录由明确的文献、NPC或任务奖励完成。破茧后可以看到妖兽最终属性，但不会自动登记它的符文来源。</w:t>
      </w:r>
    </w:p>
    <w:p>
      <w:pPr>
        <w:pStyle w:val="Heading2"/>
      </w:pPr>
      <w:r>
        <w:t>页签与返回</w:t>
      </w:r>
    </w:p>
    <w:p>
      <w:r>
        <w:t>页签切换保留各自选中条目和滚动位置，关闭后再次打开延续上次阅读状态。收录奖励确认后，条目才进入已知页；本次奖励可以提示“已收录”，画符本身不能触发同样提示。</w:t>
      </w:r>
    </w:p>
    <w:p>
      <w:pPr>
        <w:pStyle w:val="Heading1"/>
        <w:pageBreakBefore/>
      </w:pPr>
      <w:r>
        <w:t>8 妖兽身份与属性的展示规范</w:t>
      </w:r>
    </w:p>
    <w:p>
      <w:r>
        <w:t>妖兽信息分成三组：身份信息解释“这是什么妖兽”，核心属性解释“数值有什么用”，生成记录解释“它由什么投入产生”。同一界面不增加稀有度、战力分、星级和经验等级等平行评价，以位阶作为主要强度层级。</w:t>
      </w:r>
    </w:p>
    <w:p>
      <w:pPr>
        <w:pStyle w:val="Heading2"/>
      </w:pPr>
      <w:r>
        <w:t>身份信息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5783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显示示例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名字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水相迅牙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自动命名，可改名；个体标识独立保存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主形态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兽形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首版使用人形、兽形、蛇形，决定生成结构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位阶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三阶 异生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强度层级，不作为主角阵盘升级等级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元素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水相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由场地与符文倾向确定，一个主元素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体型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常规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由生成尺寸归类，便于比较轮廓与占位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材质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皮毛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描述外观材料，不自行叠加未显示属性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状态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健康／负伤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说明当前是否可编入出战队伍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统御占用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3点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用于队伍容量，不参与召唤阶位计算</w:t>
            </w:r>
          </w:p>
        </w:tc>
      </w:tr>
    </w:tbl>
    <w:p>
      <w:pPr>
        <w:spacing w:after="0"/>
      </w:pPr>
    </w:p>
    <w:p>
      <w:pPr>
        <w:pStyle w:val="Heading2"/>
      </w:pPr>
      <w:r>
        <w:t>结构信息与生成记录</w:t>
      </w:r>
    </w:p>
    <w:p>
      <w:r>
        <w:t>结构信息在折叠详情中展示体长、体高、头部数量、支撑肢体数量和质量。它们用于说明生成个体与物理尺度，默认不占核心属性位置；多头、多腿和更大体型不能自动产生额外数值收益。材质和体型发生数值影响时，必须在属性明细中列出来源。</w:t>
      </w:r>
    </w:p>
    <w:p>
      <w:r>
        <w:t>生成记录保存召唤地点、阵盘扩阵阶段、基本魔力投入、场地附加、引导物及生成日期。未收录符文不在记录中透露名称与图形，只保留通用笔画信息。妖兽外观、元素与属性在入库时确定，查看、重新进场和读档不重新生成。</w:t>
      </w:r>
    </w:p>
    <w:p>
      <w:r>
        <w:t>核心属性只显示当前真实结果；本案不配置妖兽的行为能力、主动技能、被动触发、索敌方式和独立技能冷却。</w:t>
      </w:r>
    </w:p>
    <w:p>
      <w:pPr>
        <w:pStyle w:val="Heading1"/>
        <w:pageBreakBefore/>
      </w:pPr>
      <w:r>
        <w:t>9 五项核心属性与易读数值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1984"/>
        <w:gridCol w:w="4252"/>
        <w:gridCol w:w="2324"/>
      </w:tblGrid>
      <w:tr>
        <w:trPr>
          <w:cantSplit/>
          <w:tblHeader w:val="true"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属性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主展示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含义与读法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初始建议范围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生命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150／150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当前生命／最大生命，配合一条生命条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常规个体60至500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攻击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35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每次基础有效命中的原始伤害，减伤前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常规个体10至80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防御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15%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受到的基础伤害减少15%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0至60%，明确封顶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攻速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1.1次／秒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平均每秒攻击次数，越高越快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0.5至2.0次／秒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移速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普通 3.3米／秒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快慢描述旁附精确值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1.5至5.0米／秒</w:t>
            </w:r>
          </w:p>
        </w:tc>
      </w:tr>
    </w:tbl>
    <w:p>
      <w:pPr>
        <w:spacing w:after="0"/>
      </w:pPr>
    </w:p>
    <w:p>
      <w:pPr>
        <w:pStyle w:val="Heading2"/>
      </w:pPr>
      <w:r>
        <w:t>显示精度与文字说明</w:t>
      </w:r>
    </w:p>
    <w:p>
      <w:r>
        <w:t>生命和攻击使用整数，最终一次四舍五入，0.5向上。防御使用整数百分比；攻速与移速保留一位小数，实际结算也采用这一精度。防御增加5个百分点是10%变成15%，不写成乘以1.05。所有数值固定附单位，百分比不与点数混用。</w:t>
      </w:r>
    </w:p>
    <w:p>
      <w:r>
        <w:t>移速小于2.5米／秒标“慢速”，2.5至3.5标“普通”，大于3.5标“快速”。这些词语只辅助读数，不再产生额外加成。生命条仅表达当前生命比例，不能用不同长度表示不同妖兽的最大生命，避免满血时造成误解。</w:t>
      </w:r>
    </w:p>
    <w:p>
      <w:pPr>
        <w:pStyle w:val="Heading2"/>
      </w:pPr>
      <w:r>
        <w:t>伤害说明的简单算例</w:t>
      </w:r>
    </w:p>
    <w:p>
      <w:r>
        <w:t>采用单层百分比防御：攻击40的有效命中，对防御25%的目标造成30伤害，即40×75%。先计算所有属性来源，再在最终伤害取整数；有效命中至少造成1伤害。元素、体型和材质不会附加界面未显示的隐藏倍率。</w:t>
      </w:r>
    </w:p>
    <w:p>
      <w:pPr>
        <w:pStyle w:val="Heading2"/>
      </w:pPr>
      <w:r>
        <w:t>如何比较两只妖兽</w:t>
      </w:r>
    </w:p>
    <w:p>
      <w:r>
        <w:t>固定排列五项核心属性，选择比较对象时在右侧显示具体差值，例如“生命+25、攻击−5、防御+5个百分点”。差值使用加减号及文字共同表达。不同单位的属性不合并进同一雷达图，不生成没有解释的总战力分。</w:t>
      </w:r>
    </w:p>
    <w:p>
      <w:r>
        <w:t>说明浮层给出一句含义、一个算例及数值来源。复杂公式只放策划配表，玩家主页面优先看到结果、差值和下一阶所需值。</w:t>
      </w:r>
    </w:p>
    <w:p>
      <w:pPr>
        <w:pStyle w:val="Heading1"/>
        <w:pageBreakBefore/>
      </w:pPr>
      <w:r>
        <w:t>10 妖兽位阶与召唤凝聚力</w:t>
      </w:r>
    </w:p>
    <w:p>
      <w:r>
        <w:t>妖兽位阶共五阶：幼生、成生、异生、灵生、领主。位阶由结茧时的凝聚力确定，入库后保存。本阶段没有战斗经验升级；主角扩阵扩大可构筑空间，更高投入与组合可产出更高阶妖兽。大阵盘不会直接提升已入库个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531"/>
        <w:gridCol w:w="1587"/>
        <w:gridCol w:w="1134"/>
        <w:gridCol w:w="3572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位阶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凝聚力范围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生命攻击倍率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统御占用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基础100生命20攻击时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一阶 幼生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4至11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1.00倍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生命100，攻击20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二阶 成生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12至23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1.25倍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生命125，攻击25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三阶 异生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24至39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1.50倍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生命150，攻击30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四阶 灵生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40至55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1.80倍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生命180，攻击36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五阶 领主</w:t>
            </w:r>
          </w:p>
        </w:tc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56至71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2.20倍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生命220，攻击44</w:t>
            </w:r>
          </w:p>
        </w:tc>
      </w:tr>
    </w:tbl>
    <w:p>
      <w:pPr>
        <w:spacing w:after="0"/>
      </w:pPr>
    </w:p>
    <w:p>
      <w:r>
        <w:t>位阶只为生命与攻击提供表中的倍率。防御、攻速和移速仍由种类基础与符文数值决定；更高位阶不附带一组未说明的属性增长。妖兽卡同时显示“一至五阶数字”和名称，颜色只用于辅助辨识。</w:t>
      </w:r>
    </w:p>
    <w:p>
      <w:pPr>
        <w:pStyle w:val="Heading2"/>
      </w:pPr>
      <w:r>
        <w:t>凝聚力的组成</w:t>
      </w:r>
    </w:p>
    <w:p>
      <w:r>
        <w:t>凝聚力由三项组成：启用有效符文的格数、不同符文的共鸣奖励、符文强度奖励。共鸣每增加一种启用符文加2，最多加6；强度将每枚评级乘重复贡献后相加、向下取整，最多加4。未收录有效符文照常参与计算。奇物格数、停用笔画与场地附加不贡献凝聚力。</w:t>
      </w:r>
    </w:p>
    <w:p>
      <w:r>
        <w:t>策划口径为：凝聚力＝启用有效格数＋min（6，2×max（0，不同种类数−1））＋min（4，floor（强度贡献和））。盘面61格、两项奖励合计最多10，因此最高71。</w:t>
      </w:r>
    </w:p>
    <w:p>
      <w:pPr>
        <w:pStyle w:val="Heading2"/>
      </w:pPr>
      <w:r>
        <w:t>面向玩家的进度表达</w:t>
      </w:r>
    </w:p>
    <w:p>
      <w:r>
        <w:t>主预览显示“预计三阶，凝聚力27，距离四阶还差13”。点击进度说明后展开“有效格数19＋符文共鸣4＋强度奖励4”。进度条表示当前阶到下一阶的区间，不把27／40误写成已完成67%的整个五阶成长。五阶显示“已达最高位阶”。</w:t>
      </w:r>
    </w:p>
    <w:p>
      <w:r>
        <w:t>统御与数量同时限制队伍，初始建议最多6只、总统御8点；例如二阶＋二阶＋一阶占5点。仓库20只与出战6只分别显示，不共用同一个数量字段。</w:t>
      </w:r>
    </w:p>
    <w:p>
      <w:pPr>
        <w:pStyle w:val="Heading1"/>
        <w:pageBreakBefore/>
      </w:pPr>
      <w:r>
        <w:t>11 数值计算示例与基础种类</w:t>
      </w:r>
    </w:p>
    <w:p>
      <w:pPr>
        <w:pStyle w:val="Heading2"/>
      </w:pPr>
      <w:r>
        <w:t>一只三阶妖兽的完整例子</w:t>
      </w:r>
    </w:p>
    <w:p>
      <w:r>
        <w:t>在37格阵盘上刻入余烬2枚、疾风1枚、壁垒1枚，使用兽形引导物，当前地点为水岸。符文共占19格，不配置奇物。基础个体为生命100、攻击20、防御10%、攻速1.0次／秒、移速3.0米／秒。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102"/>
        <w:gridCol w:w="2948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计算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界面结果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基本投入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4＋4＋5＋6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预留19魔力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场地附加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2枚启用余烬，水火相冲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附加2，本次消耗21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凝聚力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19格＋4共鸣＋4强度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27，三阶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生命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100×1.50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攻击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20×1.50×（1＋10%＋6%）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34.8取整为35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防御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10%＋5个百分点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攻速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1.0×1.10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1.1次／秒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移速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3.0×1.10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普通，3.3米／秒</w:t>
            </w:r>
          </w:p>
        </w:tc>
      </w:tr>
    </w:tbl>
    <w:p>
      <w:pPr>
        <w:spacing w:after="0"/>
      </w:pPr>
    </w:p>
    <w:p>
      <w:r>
        <w:t>右侧预览显示“生命150、攻击35、防御15%、攻速1.1、移速3.3”。元素身份另行按场地与符文倾向确定，不提前承诺水相；破茧完成后显示实际元素。未知符文参与真实结算，但其来源与单项增量在收录前不公开。</w:t>
      </w:r>
    </w:p>
    <w:p>
      <w:pPr>
        <w:pStyle w:val="Heading2"/>
      </w:pPr>
      <w:r>
        <w:t>基础种类的数值模板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417"/>
        <w:gridCol w:w="1134"/>
        <w:gridCol w:w="1134"/>
        <w:gridCol w:w="1191"/>
        <w:gridCol w:w="1191"/>
        <w:gridCol w:w="2324"/>
      </w:tblGrid>
      <w:tr>
        <w:trPr>
          <w:cantSplit/>
          <w:tblHeader w:val="true"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主形态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样本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生命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攻击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防御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攻速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移速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人形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符卫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120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10%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1.0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3.0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兽形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迅牙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10%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1.0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3.0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兽形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岩背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160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15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20%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0.8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蛇形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缠鳞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110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18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10%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1.0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2.8</w:t>
            </w:r>
          </w:p>
        </w:tc>
      </w:tr>
    </w:tbl>
    <w:p>
      <w:pPr>
        <w:spacing w:after="0"/>
      </w:pPr>
    </w:p>
    <w:p>
      <w:r>
        <w:t>表中生命与攻击是整数，攻速单位为次／秒，移速单位为米／秒；均为一阶基础模板。人形、兽形、蛇形首先区分身体生成结构，具体样本再设置基础数值。首轮至少各有一个样本，数量可以增加，暂不绑定独有行为。</w:t>
      </w:r>
    </w:p>
    <w:p>
      <w:pPr>
        <w:pStyle w:val="Heading1"/>
        <w:pageBreakBefore/>
      </w:pPr>
      <w:r>
        <w:t>12 数值上限 界面状态与验收</w:t>
      </w:r>
    </w:p>
    <w:p>
      <w:pPr>
        <w:pStyle w:val="Heading2"/>
      </w:pPr>
      <w:r>
        <w:t>统一的叠加顺序</w:t>
      </w:r>
    </w:p>
    <w:p>
      <w:r>
        <w:t>先选基础种类，再应用位阶的生命与攻击倍率，最后汇总符文与奇物的增量。生命、攻击、攻速和移速的百分比增量相加后一次应用，不逐枚连乘；防御的百分点直接相加。完成所有步骤后统一取整或保留一位小数，再应用上限。</w:t>
      </w:r>
    </w:p>
    <w:p>
      <w:r>
        <w:t>初始建议生命符文增量最多50%，攻击最多80%，攻速增量最多30%且结果最多2.0次／秒，移速增量最多50%且结果最多5.0米／秒，防御最终最多60%。达到上限时显示“已达上限”，继续铭刻仍占格、投入魔力并可贡献有效格数，不能假装继续增加已封顶属性。</w:t>
      </w:r>
    </w:p>
    <w:p>
      <w:r>
        <w:t>棱镜心脏占4格，相邻直接数值符文的增量提高12%；同一符文不按接触边重复强化。骨骰占2格，结茧时随机选择生命、攻击或移速提高10%，锁定后入库；任何增益都遵守相同上限。奇物均可复用，不占主角阵眼引导物槽。</w:t>
      </w:r>
    </w:p>
    <w:p>
      <w:pPr>
        <w:pStyle w:val="Heading2"/>
      </w:pPr>
      <w:r>
        <w:t>关键界面状态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767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7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74E62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反馈与可执行操作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资源不足</w:t>
            </w:r>
          </w:p>
        </w:tc>
        <w:tc>
          <w:tcPr>
            <w:tcW w:type="dxa" w:w="77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显示还差多少魔力，允许撤回或移除，不扣款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盘面冲突</w:t>
            </w:r>
          </w:p>
        </w:tc>
        <w:tc>
          <w:tcPr>
            <w:tcW w:type="dxa" w:w="77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落点标红并说明重叠或越界，保留正在拖动的奇物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仓库已满</w:t>
            </w:r>
          </w:p>
        </w:tc>
        <w:tc>
          <w:tcPr>
            <w:tcW w:type="dxa" w:w="77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显示20／20，提供跳转仓库管理，保留法阵方案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无有效符文</w:t>
            </w:r>
          </w:p>
        </w:tc>
        <w:tc>
          <w:tcPr>
            <w:tcW w:type="dxa" w:w="77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结茧不可用，指出需完成有效笔画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正在结茧</w:t>
            </w:r>
          </w:p>
        </w:tc>
        <w:tc>
          <w:tcPr>
            <w:tcW w:type="dxa" w:w="77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编辑锁定，可跳过演出，不允许升级和重复结算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负伤妖兽</w:t>
            </w:r>
          </w:p>
        </w:tc>
        <w:tc>
          <w:tcPr>
            <w:tcW w:type="dxa" w:w="77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0F4F7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列表与详情标记负伤，不允许加入出战队伍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未知条目</w:t>
            </w:r>
          </w:p>
        </w:tc>
        <w:tc>
          <w:tcPr>
            <w:tcW w:type="dxa" w:w="77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sz w:val="19"/>
              </w:rPr>
              <w:t>泛化占位与探索线索，不因识别成功泄露内容</w:t>
            </w:r>
          </w:p>
        </w:tc>
      </w:tr>
    </w:tbl>
    <w:p>
      <w:pPr>
        <w:spacing w:after="0"/>
      </w:pPr>
    </w:p>
    <w:p>
      <w:pPr>
        <w:pStyle w:val="Heading2"/>
      </w:pPr>
      <w:r>
        <w:t>首版验收</w:t>
      </w:r>
    </w:p>
    <w:p>
      <w:r>
        <w:t>主界面固定功能按钮恰好三个，左右两侧不残留常驻面板。三个完整界面能打开、关闭并保持场景位置；仓库左右双栏与已知／未知页签能保留选择状态。7、19、37、61格数量准确，升级保留布局，每一种教学符文有合法摆放样例。</w:t>
      </w:r>
    </w:p>
    <w:p>
      <w:r>
        <w:t>逐格预留、撤销返还、停用不计凝聚力、场地附加不抬位阶均按示例成立。结茧扣费一次、入库一次、跳过不重抽；未收录符文能生效但不提示、不自动收录。属性显示与结算值一致，上限与差值有文字说明，当前版本不出现妖兽行为能力配置。</w:t>
      </w:r>
    </w:p>
    <w:sectPr w:rsidR="00FC693F" w:rsidRPr="0006063C" w:rsidSect="00034616">
      <w:footerReference w:type="default" r:id="rId9"/>
      <w:pgSz w:w="11906" w:h="16838"/>
      <w:pgMar w:top="1020" w:right="1077" w:bottom="935" w:left="107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涌现游戏界面与妖兽属性策划</dc:title>
  <dc:subject>底部三入口界面 召唤结茧 阵盘成长 妖兽属性与位阶</dc:subject>
  <dc:creator>项目策划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