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B10E3" w14:textId="54F6C033" w:rsidR="00AA4E19" w:rsidRDefault="00AA4E19" w:rsidP="00AA4E19">
      <w:r w:rsidRPr="00AA4E19">
        <w:t xml:space="preserve"> </w:t>
      </w:r>
      <w:r>
        <w:rPr>
          <w:rFonts w:hint="eastAsia"/>
        </w:rPr>
        <w:t>（1）</w:t>
      </w:r>
      <w:r w:rsidRPr="00AA4E19">
        <w:t xml:space="preserve"> </w:t>
      </w:r>
      <w:r w:rsidRPr="00AA4E19">
        <w:rPr>
          <w:b/>
          <w:bCs/>
        </w:rPr>
        <w:t>多重覆盖与候选卫星选择依据</w:t>
      </w:r>
      <w:r w:rsidRPr="00AA4E19">
        <w:t>：证明了在低轨/多层卫星网络中，地面波位处于多星重叠覆盖区域时，终端存在多个候选服务卫星，需要综合考虑星地距离、卫星可服务时长等几何/动态因素来进行接入选择与星间切换</w:t>
      </w:r>
      <w:r>
        <w:rPr>
          <w:rFonts w:hint="eastAsia"/>
        </w:rPr>
        <w:t>，</w:t>
      </w:r>
      <w:r w:rsidRPr="00AA4E19">
        <w:rPr>
          <w:b/>
          <w:bCs/>
        </w:rPr>
        <w:t>时变映射关系的建立</w:t>
      </w:r>
      <w:r w:rsidRPr="00AA4E19">
        <w:t>：通过采用基于剩余服务时间和星地距离的加权优化效用函数（选星接入策略），建立了低轨卫星与地面服务区域/波位随时间动态变化的时变映射关系，为低轨跳波束系统在大时空尺度上的资源调度奠定了接入模型基础</w:t>
      </w:r>
    </w:p>
    <w:p w14:paraId="47800F90" w14:textId="053CC23E" w:rsidR="00AA4E19" w:rsidRDefault="00AA4E19" w:rsidP="00AA4E19">
      <w:proofErr w:type="gramStart"/>
      <w:r w:rsidRPr="00AA4E19">
        <w:t xml:space="preserve">  </w:t>
      </w:r>
      <w:r>
        <w:rPr>
          <w:rFonts w:hint="eastAsia"/>
        </w:rPr>
        <w:t>（</w:t>
      </w:r>
      <w:proofErr w:type="gramEnd"/>
      <w:r>
        <w:rPr>
          <w:rFonts w:hint="eastAsia"/>
        </w:rPr>
        <w:t>2）</w:t>
      </w:r>
      <w:r w:rsidRPr="00AA4E19">
        <w:rPr>
          <w:b/>
          <w:bCs/>
        </w:rPr>
        <w:t>同频干扰模型的天线增益计算</w:t>
      </w:r>
      <w:r w:rsidRPr="00AA4E19">
        <w:t>：在第 1.2 节“链路建模”中，文章推导卫星波束间的同频共信道干扰（</w:t>
      </w:r>
      <m:oMath>
        <m:sSub>
          <m:sSubPr>
            <m:ctrlPr>
              <w:rPr>
                <w:rFonts w:ascii="Cambria Math" w:hAnsi="Cambria Math"/>
              </w:rPr>
            </m:ctrlPr>
          </m:sSubPr>
          <m:e>
            <m:r>
              <w:rPr>
                <w:rFonts w:ascii="Cambria Math" w:hAnsi="Cambria Math"/>
              </w:rPr>
              <m:t>I</m:t>
            </m:r>
          </m:e>
          <m:sub>
            <m:r>
              <w:rPr>
                <w:rFonts w:ascii="Cambria Math" w:hAnsi="Cambria Math"/>
              </w:rPr>
              <m:t>mn</m:t>
            </m:r>
          </m:sub>
        </m:sSub>
      </m:oMath>
      <w:r w:rsidRPr="00AA4E19">
        <w:t xml:space="preserve">）时，用到了干扰波束对受干扰波位的天线增益公式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mn</m:t>
                </m:r>
              </m:sub>
            </m:sSub>
          </m:e>
        </m:d>
      </m:oMath>
      <w:r w:rsidRPr="00AA4E19">
        <w:t xml:space="preserve">。 </w:t>
      </w:r>
      <w:r w:rsidRPr="00AA4E19">
        <w:rPr>
          <w:b/>
          <w:bCs/>
        </w:rPr>
        <w:t>贝塞尔函数的理论依据</w:t>
      </w:r>
      <w:r w:rsidRPr="00AA4E19">
        <w:t xml:space="preserve">：公式中包含了计算所需的一阶贝塞尔函数 </w:t>
      </w:r>
      <m:oMath>
        <m:sSub>
          <m:sSubPr>
            <m:ctrlPr>
              <w:rPr>
                <w:rFonts w:ascii="Cambria Math" w:hAnsi="Cambria Math"/>
              </w:rPr>
            </m:ctrlPr>
          </m:sSubPr>
          <m:e>
            <m:r>
              <w:rPr>
                <w:rFonts w:ascii="Cambria Math" w:hAnsi="Cambria Math"/>
              </w:rPr>
              <m:t>J</m:t>
            </m:r>
          </m:e>
          <m:sub>
            <m:r>
              <w:rPr>
                <w:rFonts w:ascii="Cambria Math" w:hAnsi="Cambria Math"/>
              </w:rPr>
              <m:t>1</m:t>
            </m:r>
          </m:sub>
        </m:sSub>
        <m:d>
          <m:dPr>
            <m:ctrlPr>
              <w:rPr>
                <w:rFonts w:ascii="Cambria Math" w:hAnsi="Cambria Math"/>
              </w:rPr>
            </m:ctrlPr>
          </m:dPr>
          <m:e>
            <m:r>
              <w:rPr>
                <w:rFonts w:ascii="Cambria Math" w:hAnsi="Cambria Math"/>
              </w:rPr>
              <m:t>⋅</m:t>
            </m:r>
          </m:e>
        </m:d>
      </m:oMath>
      <w:r w:rsidRPr="00AA4E19">
        <w:t xml:space="preserve"> 和三阶贝塞尔函数 </w:t>
      </w:r>
      <m:oMath>
        <m:sSub>
          <m:sSubPr>
            <m:ctrlPr>
              <w:rPr>
                <w:rFonts w:ascii="Cambria Math" w:hAnsi="Cambria Math"/>
              </w:rPr>
            </m:ctrlPr>
          </m:sSubPr>
          <m:e>
            <m:r>
              <w:rPr>
                <w:rFonts w:ascii="Cambria Math" w:hAnsi="Cambria Math"/>
              </w:rPr>
              <m:t>J</m:t>
            </m:r>
          </m:e>
          <m:sub>
            <m:r>
              <w:rPr>
                <w:rFonts w:ascii="Cambria Math" w:hAnsi="Cambria Math"/>
              </w:rPr>
              <m:t>3</m:t>
            </m:r>
          </m:sub>
        </m:sSub>
        <m:d>
          <m:dPr>
            <m:ctrlPr>
              <w:rPr>
                <w:rFonts w:ascii="Cambria Math" w:hAnsi="Cambria Math"/>
              </w:rPr>
            </m:ctrlPr>
          </m:dPr>
          <m:e>
            <m:r>
              <w:rPr>
                <w:rFonts w:ascii="Cambria Math" w:hAnsi="Cambria Math"/>
              </w:rPr>
              <m:t>⋅</m:t>
            </m:r>
          </m:e>
        </m:d>
      </m:oMath>
      <w:r w:rsidRPr="00AA4E19">
        <w:t>。文献[22]（以及文献[23]）作为数学物理方法中的权威参考，为这些涉及贝塞尔函数的精确计算公式提供了理论基础与数学依据</w:t>
      </w:r>
    </w:p>
    <w:p w14:paraId="2C5503DC" w14:textId="72C74F18" w:rsidR="00AA4E19" w:rsidRPr="00AA4E19" w:rsidRDefault="00AA4E19" w:rsidP="00AA4E19">
      <w:pPr>
        <w:rPr>
          <w:rFonts w:hint="eastAsia"/>
        </w:rPr>
      </w:pPr>
      <w:r>
        <w:rPr>
          <w:rFonts w:hint="eastAsia"/>
        </w:rPr>
        <w:t xml:space="preserve">   （3）</w:t>
      </w:r>
      <w:proofErr w:type="gramStart"/>
      <w:r w:rsidRPr="00AA4E19">
        <w:t xml:space="preserve">  </w:t>
      </w:r>
      <w:r w:rsidRPr="00AA4E19">
        <w:rPr>
          <w:b/>
          <w:bCs/>
        </w:rPr>
        <w:t>同频波束天线增益计算模型</w:t>
      </w:r>
      <w:proofErr w:type="gramEnd"/>
      <w:r w:rsidRPr="00AA4E19">
        <w:t xml:space="preserve">：在第 1.2 节“链路建模”中，第一篇文章计算波束 </w:t>
      </w:r>
      <m:oMath>
        <m:sSub>
          <m:sSubPr>
            <m:ctrlPr>
              <w:rPr>
                <w:rFonts w:ascii="Cambria Math" w:hAnsi="Cambria Math"/>
              </w:rPr>
            </m:ctrlPr>
          </m:sSubPr>
          <m:e>
            <m:r>
              <w:rPr>
                <w:rFonts w:ascii="Cambria Math" w:hAnsi="Cambria Math"/>
              </w:rPr>
              <m:t>b</m:t>
            </m:r>
          </m:e>
          <m:sub>
            <m:r>
              <w:rPr>
                <w:rFonts w:ascii="Cambria Math" w:hAnsi="Cambria Math"/>
              </w:rPr>
              <m:t>m</m:t>
            </m:r>
          </m:sub>
        </m:sSub>
      </m:oMath>
      <w:r w:rsidRPr="00AA4E19">
        <w:t xml:space="preserve"> 对波位 </w:t>
      </w:r>
      <m:oMath>
        <m:r>
          <w:rPr>
            <w:rFonts w:ascii="Cambria Math" w:hAnsi="Cambria Math"/>
          </w:rPr>
          <m:t>n</m:t>
        </m:r>
      </m:oMath>
      <w:r w:rsidRPr="00AA4E19">
        <w:t xml:space="preserve"> 的天线增益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mn</m:t>
                </m:r>
              </m:sub>
            </m:sSub>
          </m:e>
        </m:d>
      </m:oMath>
      <w:r w:rsidRPr="00AA4E19">
        <w:t>（即公式 3）时，直接引用了文献 [21] 中的经典多波束天线方向图与增益计算模型</w:t>
      </w:r>
      <w:r>
        <w:rPr>
          <w:rFonts w:hint="eastAsia"/>
        </w:rPr>
        <w:t>。</w:t>
      </w:r>
      <w:r w:rsidRPr="00AA4E19">
        <w:rPr>
          <w:b/>
          <w:bCs/>
        </w:rPr>
        <w:t>邻区/共信道干扰建模依据</w:t>
      </w:r>
      <w:r w:rsidRPr="00AA4E19">
        <w:t>：该文献提供了多波束/多小区卫星通信系统中，基于贝塞尔函数和抛物面/锥形口面天线辐射方向图（Tapered-aperture antenna pattern）计算离轴天线增益的标准公式[cite: 1, 4]。这为第一篇文章建立波束间同频共信道干扰（Co-channel Interference）模型提供了精确的数学和物理基础</w:t>
      </w:r>
      <w:r>
        <w:rPr>
          <w:rFonts w:hint="eastAsia"/>
        </w:rPr>
        <w:t>。</w:t>
      </w:r>
    </w:p>
    <w:p w14:paraId="1660DBE9" w14:textId="069A7A23" w:rsidR="00AA4E19" w:rsidRDefault="00AA4E19" w:rsidP="00AA4E19">
      <w:r>
        <w:rPr>
          <w:rFonts w:hint="eastAsia"/>
        </w:rPr>
        <w:t xml:space="preserve">  （4）</w:t>
      </w:r>
      <w:proofErr w:type="gramStart"/>
      <w:r w:rsidRPr="00AA4E19">
        <w:t xml:space="preserve">  </w:t>
      </w:r>
      <w:r w:rsidRPr="00AA4E19">
        <w:rPr>
          <w:b/>
          <w:bCs/>
        </w:rPr>
        <w:t>空天地一体化网络核心背景</w:t>
      </w:r>
      <w:proofErr w:type="gramEnd"/>
      <w:r w:rsidRPr="00AA4E19">
        <w:t>：第一篇文章在“0 引言”的第一句话即引用文献 [1]，用以证明低轨（LEO）卫星通信系统因其</w:t>
      </w:r>
      <w:r w:rsidRPr="00AA4E19">
        <w:rPr>
          <w:b/>
          <w:bCs/>
        </w:rPr>
        <w:t>覆盖范围广、时延低、部署快</w:t>
      </w:r>
      <w:r w:rsidRPr="00AA4E19">
        <w:t>等突出特点，已经成为未来空天地一体化通信系统（及 6G 覆盖扩展）的关键组成部分</w:t>
      </w:r>
      <w:r>
        <w:rPr>
          <w:rFonts w:hint="eastAsia"/>
        </w:rPr>
        <w:t>。</w:t>
      </w:r>
      <w:r w:rsidRPr="00AA4E19">
        <w:t xml:space="preserve"> </w:t>
      </w:r>
      <w:r w:rsidRPr="00AA4E19">
        <w:rPr>
          <w:b/>
          <w:bCs/>
        </w:rPr>
        <w:t>巨型星座与全球覆盖趋势</w:t>
      </w:r>
      <w:r w:rsidRPr="00AA4E19">
        <w:t>：文献 [1] 详细阐述了超大型低轨卫星星座（Mega Satellite Constellations）在实现全球无缝立体覆盖以及满足多样化业务需求方面的不可替代作用，为第一篇文章开展低轨跳波束（Beam Hopping）资源调度的必要性提供了技术演进与应用场景的宏观依据</w:t>
      </w:r>
    </w:p>
    <w:p w14:paraId="0C9DDEAB" w14:textId="5BF1A613" w:rsidR="00AA4E19" w:rsidRDefault="00AA4E19" w:rsidP="00AA4E19">
      <w:r>
        <w:rPr>
          <w:rFonts w:hint="eastAsia"/>
        </w:rPr>
        <w:t xml:space="preserve">  （5）</w:t>
      </w:r>
      <w:proofErr w:type="gramStart"/>
      <w:r w:rsidRPr="00AA4E19">
        <w:t xml:space="preserve">  </w:t>
      </w:r>
      <w:r w:rsidRPr="00AA4E19">
        <w:rPr>
          <w:b/>
          <w:bCs/>
        </w:rPr>
        <w:t>跳波束核心技术原理</w:t>
      </w:r>
      <w:proofErr w:type="gramEnd"/>
      <w:r w:rsidRPr="00AA4E19">
        <w:t>：证明了跳波束（Beam Hopping）技术采用</w:t>
      </w:r>
      <w:r w:rsidRPr="00AA4E19">
        <w:rPr>
          <w:b/>
          <w:bCs/>
        </w:rPr>
        <w:t>时间分片</w:t>
      </w:r>
      <w:r w:rsidRPr="00AA4E19">
        <w:t>原理（Time-division multiplexing/Time slicing），在同一时隙中仅激活部分波束，使得各波束能够共享星上的功率和带宽等无线资源</w:t>
      </w:r>
      <w:r>
        <w:rPr>
          <w:rFonts w:hint="eastAsia"/>
        </w:rPr>
        <w:t>。</w:t>
      </w:r>
      <w:r w:rsidRPr="00AA4E19">
        <w:rPr>
          <w:b/>
          <w:bCs/>
        </w:rPr>
        <w:t>提升资源利用率与解决碎片化</w:t>
      </w:r>
      <w:r w:rsidRPr="00AA4E19">
        <w:t>：证明了相比于传统多波束卫星系统的固定资源分配策略，跳波束技术能够通过灵活的按需资源分配，</w:t>
      </w:r>
      <w:r w:rsidRPr="00AA4E19">
        <w:rPr>
          <w:b/>
          <w:bCs/>
        </w:rPr>
        <w:t>显著提高卫星的资源利用率</w:t>
      </w:r>
      <w:r w:rsidRPr="00AA4E19">
        <w:t>（Resource utilization），并有效</w:t>
      </w:r>
      <w:r w:rsidRPr="00AA4E19">
        <w:rPr>
          <w:b/>
          <w:bCs/>
        </w:rPr>
        <w:t>解决资源碎片化配置问题</w:t>
      </w:r>
      <w:r>
        <w:rPr>
          <w:rFonts w:hint="eastAsia"/>
        </w:rPr>
        <w:t>。</w:t>
      </w:r>
      <w:r w:rsidRPr="00AA4E19">
        <w:t>这为第一篇文章设计低轨跳波束资源调度架构奠定了技术优越性的理论依据。</w:t>
      </w:r>
    </w:p>
    <w:p w14:paraId="53842DB2" w14:textId="2187DBA6" w:rsidR="00AA4E19" w:rsidRDefault="00AA4E19" w:rsidP="00AA4E19">
      <w:r>
        <w:rPr>
          <w:rFonts w:hint="eastAsia"/>
        </w:rPr>
        <w:t xml:space="preserve">  （6）</w:t>
      </w:r>
      <w:proofErr w:type="gramStart"/>
      <w:r w:rsidRPr="00AA4E19">
        <w:t xml:space="preserve">  </w:t>
      </w:r>
      <w:r w:rsidRPr="00AA4E19">
        <w:rPr>
          <w:b/>
          <w:bCs/>
        </w:rPr>
        <w:t>跳波束概念与技术背景</w:t>
      </w:r>
      <w:proofErr w:type="gramEnd"/>
      <w:r w:rsidRPr="00AA4E19">
        <w:t>：证明了跳波束技术最早被提出用于解决卫星通信系统中</w:t>
      </w:r>
      <w:r w:rsidRPr="00AA4E19">
        <w:rPr>
          <w:b/>
          <w:bCs/>
        </w:rPr>
        <w:t>非均匀且时变的业务需求</w:t>
      </w:r>
      <w:r w:rsidRPr="00AA4E19">
        <w:t>（Non-uniform traffic demands）问题</w:t>
      </w:r>
      <w:r>
        <w:rPr>
          <w:rFonts w:hint="eastAsia"/>
        </w:rPr>
        <w:t>。</w:t>
      </w:r>
      <w:r w:rsidRPr="00AA4E19">
        <w:rPr>
          <w:b/>
          <w:bCs/>
        </w:rPr>
        <w:t>时分多路复用与时隙分配机制</w:t>
      </w:r>
      <w:r w:rsidRPr="00AA4E19">
        <w:t>：支持了第一篇文章对跳波束原理的描述——即卫星将时间线划分为包含若干时隙（Time slots）的重复窗口（Window length），在同一时隙内仅激活部分</w:t>
      </w:r>
      <w:r w:rsidRPr="00AA4E19">
        <w:lastRenderedPageBreak/>
        <w:t>波束，并根据各波束的实际业务需求灵活分配照射时隙的长度（Dwell time）</w:t>
      </w:r>
      <w:r>
        <w:rPr>
          <w:rFonts w:hint="eastAsia"/>
        </w:rPr>
        <w:t>。</w:t>
      </w:r>
      <w:r w:rsidRPr="00AA4E19">
        <w:rPr>
          <w:b/>
          <w:bCs/>
        </w:rPr>
        <w:t>提升系统吞吐量与灵活匹配能力</w:t>
      </w:r>
      <w:r w:rsidRPr="00AA4E19">
        <w:t>：证明了相比于传统的固定功率和固定带宽分配系统，采用跳波束技术进行按需资源分配能够显著提高卫星系统的总吞吐量，实现星上资源与地面业务需求的动态匹配</w:t>
      </w:r>
      <w:r>
        <w:rPr>
          <w:rFonts w:hint="eastAsia"/>
        </w:rPr>
        <w:t>。</w:t>
      </w:r>
    </w:p>
    <w:p w14:paraId="634F5AD6" w14:textId="485FDC69" w:rsidR="00CE29A6" w:rsidRDefault="00AA4E19" w:rsidP="00CE29A6">
      <w:r>
        <w:rPr>
          <w:rFonts w:hint="eastAsia"/>
        </w:rPr>
        <w:t xml:space="preserve">  （7）</w:t>
      </w:r>
      <w:proofErr w:type="gramStart"/>
      <w:r w:rsidR="00CE29A6" w:rsidRPr="00CE29A6">
        <w:t xml:space="preserve">  </w:t>
      </w:r>
      <w:r w:rsidR="00CE29A6" w:rsidRPr="00CE29A6">
        <w:rPr>
          <w:b/>
          <w:bCs/>
        </w:rPr>
        <w:t>证明业务分类与</w:t>
      </w:r>
      <w:proofErr w:type="gramEnd"/>
      <w:r w:rsidR="00CE29A6" w:rsidRPr="00CE29A6">
        <w:rPr>
          <w:b/>
          <w:bCs/>
        </w:rPr>
        <w:t>QoS指标划分的标准合理性</w:t>
      </w:r>
      <w:r w:rsidR="00CE29A6" w:rsidRPr="00CE29A6">
        <w:t>：文章在建立低轨卫星宽带业务量模型时，基于3GPP标准规范（文献[26]等），根据不同通信业务对资源调度的差异化QoS需求，将语音会话、视频会话、流媒体视频及数据业务等标准化地划分为</w:t>
      </w:r>
      <w:r w:rsidR="00CE29A6" w:rsidRPr="00CE29A6">
        <w:rPr>
          <w:b/>
          <w:bCs/>
        </w:rPr>
        <w:t>实时业务</w:t>
      </w:r>
      <w:r w:rsidR="00CE29A6" w:rsidRPr="00CE29A6">
        <w:t>（时延敏感型）与</w:t>
      </w:r>
      <w:r w:rsidR="00CE29A6" w:rsidRPr="00CE29A6">
        <w:rPr>
          <w:b/>
          <w:bCs/>
        </w:rPr>
        <w:t>非实时业务</w:t>
      </w:r>
      <w:r w:rsidR="00CE29A6" w:rsidRPr="00CE29A6">
        <w:t xml:space="preserve">（速率/吞吐量敏感型）两大类。 </w:t>
      </w:r>
      <w:r w:rsidR="00CE29A6" w:rsidRPr="00CE29A6">
        <w:rPr>
          <w:b/>
          <w:bCs/>
        </w:rPr>
        <w:t>支撑仿真测试数据生成的规范性</w:t>
      </w:r>
      <w:r w:rsidR="00CE29A6" w:rsidRPr="00CE29A6">
        <w:t xml:space="preserve">：在评估资源调度算法性能时，仿真实验中的业务数据是严格按照3GPP协议规定的标准业务模型生成的，保证了测试环境和流量输入的客观性与权威性。 </w:t>
      </w:r>
    </w:p>
    <w:p w14:paraId="41AFA020" w14:textId="7E3712C1" w:rsidR="00CE29A6" w:rsidRDefault="00CE29A6" w:rsidP="00CE29A6">
      <w:r>
        <w:rPr>
          <w:rFonts w:hint="eastAsia"/>
        </w:rPr>
        <w:t xml:space="preserve"> （8）</w:t>
      </w:r>
      <w:proofErr w:type="gramStart"/>
      <w:r w:rsidRPr="00CE29A6">
        <w:t xml:space="preserve">  </w:t>
      </w:r>
      <w:r w:rsidRPr="00CE29A6">
        <w:rPr>
          <w:b/>
          <w:bCs/>
        </w:rPr>
        <w:t>下行链路波束间同频干扰计算模型</w:t>
      </w:r>
      <w:proofErr w:type="gramEnd"/>
      <w:r w:rsidRPr="00CE29A6">
        <w:t>： 在第 2~3 页“1.3 同频干扰模型及分析”部分，文章引用文献[11]作为构建卫星下行链路波位间共信道干扰（Co-channel Interference）数学计算公式（式</w:t>
      </w:r>
      <w:proofErr w:type="gramStart"/>
      <w:r w:rsidRPr="00CE29A6">
        <w:t>(1)</w:t>
      </w:r>
      <w:proofErr w:type="gramEnd"/>
      <w:r w:rsidRPr="00CE29A6">
        <w:t>及式</w:t>
      </w:r>
      <w:proofErr w:type="gramStart"/>
      <w:r w:rsidRPr="00CE29A6">
        <w:t>(4)</w:t>
      </w:r>
      <w:proofErr w:type="gramEnd"/>
      <w:r w:rsidRPr="00CE29A6">
        <w:t xml:space="preserve">）的依据，用以精确量化卫星发射功率、天线增益、波束间距离以及入射角度对受干扰波位产生的干扰值。 </w:t>
      </w:r>
      <w:r w:rsidRPr="00CE29A6">
        <w:rPr>
          <w:b/>
          <w:bCs/>
        </w:rPr>
        <w:t>频率复用距离门限的设定依据</w:t>
      </w:r>
      <w:r w:rsidRPr="00CE29A6">
        <w:t xml:space="preserve">： 在第 3 页“1.3 同频干扰模型及分析”末尾，引用文献[11]作为参数设定的参考，指出在遵循 DVB-S2 协议的高通量卫星系统中，可以将 </w:t>
      </w:r>
      <w:r w:rsidRPr="00CE29A6">
        <w:rPr>
          <w:b/>
          <w:bCs/>
        </w:rPr>
        <w:t>4 倍波束半径</w:t>
      </w:r>
      <w:r w:rsidRPr="00CE29A6">
        <w:t xml:space="preserve">作为全频复用方案下的频率复用安全距离门限。当同频工作的波束间距大于该门限时，同频干扰即可忽略不计。 </w:t>
      </w:r>
      <w:r w:rsidRPr="00CE29A6">
        <w:rPr>
          <w:b/>
          <w:bCs/>
        </w:rPr>
        <w:t>并行分配时隙对单次驻留时间的优化逻辑</w:t>
      </w:r>
      <w:r w:rsidRPr="00CE29A6">
        <w:t xml:space="preserve">： 在第 4 页“2.2 联合优化的跳波束图案设计方法”第 </w:t>
      </w:r>
      <w:proofErr w:type="gramStart"/>
      <w:r w:rsidRPr="00CE29A6">
        <w:t>(3)</w:t>
      </w:r>
      <w:proofErr w:type="gramEnd"/>
      <w:r w:rsidRPr="00CE29A6">
        <w:t xml:space="preserve"> 点“波束驻留时间”中，引用文献[11]来说明：区别于传统以时间为顺序的串行时隙分配，采用</w:t>
      </w:r>
      <w:r w:rsidRPr="00CE29A6">
        <w:rPr>
          <w:b/>
          <w:bCs/>
        </w:rPr>
        <w:t>以波束为优化对象的并行分配方法</w:t>
      </w:r>
      <w:r w:rsidRPr="00CE29A6">
        <w:t>，能够使跳波束图案中的时隙保持更高连续性，从而有效延长波束单次驻留时间，减少频繁切换带来的信令开销。</w:t>
      </w:r>
    </w:p>
    <w:p w14:paraId="5F1AC47B" w14:textId="7E99E7D5" w:rsidR="00CE29A6" w:rsidRDefault="00CE29A6" w:rsidP="00CE29A6">
      <w:r>
        <w:rPr>
          <w:rFonts w:hint="eastAsia"/>
        </w:rPr>
        <w:t xml:space="preserve">  （9）</w:t>
      </w:r>
      <w:proofErr w:type="gramStart"/>
      <w:r w:rsidRPr="00CE29A6">
        <w:t xml:space="preserve">  </w:t>
      </w:r>
      <w:r w:rsidRPr="00CE29A6">
        <w:rPr>
          <w:b/>
          <w:bCs/>
        </w:rPr>
        <w:t>系统容量提升的定量论证</w:t>
      </w:r>
      <w:proofErr w:type="gramEnd"/>
      <w:r w:rsidRPr="00CE29A6">
        <w:t>： 在论文第 1 页（即整本期刊第 8 页）的“0 引言”部分，引用文献[2]来阐述跳波束技术的性能优势，指出：与功率和带宽采用固定分配的常规卫星系统相比，</w:t>
      </w:r>
      <w:r w:rsidRPr="00CE29A6">
        <w:rPr>
          <w:b/>
          <w:bCs/>
        </w:rPr>
        <w:t>采用跳波束系统可以将卫星通信容量增加 30%</w:t>
      </w:r>
      <w:r w:rsidRPr="00CE29A6">
        <w:t xml:space="preserve">。 </w:t>
      </w:r>
      <w:r w:rsidRPr="00CE29A6">
        <w:rPr>
          <w:b/>
          <w:bCs/>
        </w:rPr>
        <w:t>硬件架构路线与设计演进分析</w:t>
      </w:r>
      <w:r w:rsidRPr="00CE29A6">
        <w:t>： 在论文第 3 页（即整本期刊第 10 页）的“2.1 卫星跳波束控制器架构设计”部分，引用文献[2]作为星载跳波束实现路线的代表方案之一。文中指出： 该文献在前面研究的基础上，提出了</w:t>
      </w:r>
      <w:r w:rsidRPr="00CE29A6">
        <w:rPr>
          <w:b/>
          <w:bCs/>
        </w:rPr>
        <w:t>采用相控阵天线的方案</w:t>
      </w:r>
      <w:r w:rsidRPr="00CE29A6">
        <w:t xml:space="preserve">，即通过波束形成网络中的移相器来形成不同的波束，从而实现波束的跳变（即“跳波束控制器 </w:t>
      </w:r>
      <m:oMath>
        <m:r>
          <w:rPr>
            <w:rFonts w:ascii="Cambria Math" w:hAnsi="Cambria Math"/>
          </w:rPr>
          <m:t>→</m:t>
        </m:r>
      </m:oMath>
      <w:r w:rsidRPr="00CE29A6">
        <w:t xml:space="preserve"> 波束形成网络 </w:t>
      </w:r>
      <m:oMath>
        <m:r>
          <w:rPr>
            <w:rFonts w:ascii="Cambria Math" w:hAnsi="Cambria Math"/>
          </w:rPr>
          <m:t>→</m:t>
        </m:r>
      </m:oMath>
      <w:r w:rsidRPr="00CE29A6">
        <w:t xml:space="preserve"> 发射天线”的技术路线）。 作者进一步借此分析该方案的优缺点：相控阵方案通过共用多个馈源和功放，</w:t>
      </w:r>
      <w:r w:rsidRPr="00CE29A6">
        <w:rPr>
          <w:b/>
          <w:bCs/>
        </w:rPr>
        <w:t>提高了星上资源的利用率</w:t>
      </w:r>
      <w:r w:rsidRPr="00CE29A6">
        <w:t>，但其设计难点在于</w:t>
      </w:r>
      <w:r w:rsidRPr="00CE29A6">
        <w:rPr>
          <w:b/>
          <w:bCs/>
        </w:rPr>
        <w:t>波束形成网络较为复杂</w:t>
      </w:r>
      <w:r w:rsidRPr="00CE29A6">
        <w:t>。</w:t>
      </w:r>
    </w:p>
    <w:p w14:paraId="0BB66C3C" w14:textId="014A4945" w:rsidR="00CE29A6" w:rsidRDefault="00CE29A6" w:rsidP="00CE29A6">
      <w:r>
        <w:rPr>
          <w:rFonts w:hint="eastAsia"/>
        </w:rPr>
        <w:t xml:space="preserve"> （10）</w:t>
      </w:r>
      <w:proofErr w:type="gramStart"/>
      <w:r w:rsidRPr="00CE29A6">
        <w:t xml:space="preserve">  </w:t>
      </w:r>
      <w:r w:rsidRPr="00CE29A6">
        <w:rPr>
          <w:b/>
          <w:bCs/>
        </w:rPr>
        <w:t>跳波束技术发展历史与起源的追溯</w:t>
      </w:r>
      <w:proofErr w:type="gramEnd"/>
      <w:r w:rsidRPr="00CE29A6">
        <w:t>： 在论文第 1 页（期刊第 8 页）的“0 引言”部分，引用文献[1]来说明跳波束技术的起源，指出跳波束技术最早是由美国国家航空航天局（NASA）在其</w:t>
      </w:r>
      <w:r w:rsidRPr="00CE29A6">
        <w:rPr>
          <w:b/>
          <w:bCs/>
        </w:rPr>
        <w:t xml:space="preserve">先进通信卫星技术（Advanced Technology </w:t>
      </w:r>
      <w:r w:rsidRPr="00CE29A6">
        <w:rPr>
          <w:b/>
          <w:bCs/>
        </w:rPr>
        <w:lastRenderedPageBreak/>
        <w:t>Communication Satellite, ACTS）项目</w:t>
      </w:r>
      <w:r w:rsidRPr="00CE29A6">
        <w:t xml:space="preserve">中进行研究与应用的。  </w:t>
      </w:r>
      <w:r w:rsidRPr="00CE29A6">
        <w:rPr>
          <w:b/>
          <w:bCs/>
        </w:rPr>
        <w:t>传统硬件架构及工作机制的分析</w:t>
      </w:r>
      <w:r w:rsidRPr="00CE29A6">
        <w:t>： 在论文第 3 页（期刊第 10 页）的“2.1 卫星跳波束控制器架构设计”部分，引用文献[1]作为基于切换馈源方案的典型代表。文中指出： ACTS 项目采用了</w:t>
      </w:r>
      <w:r w:rsidRPr="00CE29A6">
        <w:rPr>
          <w:b/>
          <w:bCs/>
        </w:rPr>
        <w:t>单个行波管（TWT）产生单个波束</w:t>
      </w:r>
      <w:r w:rsidRPr="00CE29A6">
        <w:t xml:space="preserve">的结构，通过在辐射馈源前加入开关矩阵，利用馈源的选通来实现波束的跳变（即“跳波束控制器 </w:t>
      </w:r>
      <m:oMath>
        <m:r>
          <w:rPr>
            <w:rFonts w:ascii="Cambria Math" w:hAnsi="Cambria Math"/>
          </w:rPr>
          <m:t>→</m:t>
        </m:r>
      </m:oMath>
      <w:r w:rsidRPr="00CE29A6">
        <w:t xml:space="preserve"> 开关矩阵 </w:t>
      </w:r>
      <m:oMath>
        <m:r>
          <w:rPr>
            <w:rFonts w:ascii="Cambria Math" w:hAnsi="Cambria Math"/>
          </w:rPr>
          <m:t>→</m:t>
        </m:r>
      </m:oMath>
      <w:r w:rsidRPr="00CE29A6">
        <w:t xml:space="preserve"> 发射天线”的技术路线）。 作者进一步借此分析该路线的优缺点：切换馈源方案的</w:t>
      </w:r>
      <w:r w:rsidRPr="00CE29A6">
        <w:rPr>
          <w:b/>
          <w:bCs/>
        </w:rPr>
        <w:t>控制器设计相对简单</w:t>
      </w:r>
      <w:r w:rsidRPr="00CE29A6">
        <w:t>，但缺点在于多个馈源中同一时刻只有一个在工作，会</w:t>
      </w:r>
      <w:r w:rsidRPr="00CE29A6">
        <w:rPr>
          <w:b/>
          <w:bCs/>
        </w:rPr>
        <w:t>造成一定的星上资源浪费</w:t>
      </w:r>
      <w:r w:rsidRPr="00CE29A6">
        <w:t>。</w:t>
      </w:r>
    </w:p>
    <w:p w14:paraId="31C14753" w14:textId="5E6FEE99" w:rsidR="00CE29A6" w:rsidRDefault="00CE29A6" w:rsidP="00CE29A6">
      <w:r>
        <w:rPr>
          <w:rFonts w:hint="eastAsia"/>
        </w:rPr>
        <w:t>（11）</w:t>
      </w:r>
      <w:r w:rsidRPr="00CE29A6">
        <w:rPr>
          <w:b/>
          <w:bCs/>
        </w:rPr>
        <w:t>作为现有跳波束算法研究的代表性文献</w:t>
      </w:r>
      <w:r w:rsidRPr="00CE29A6">
        <w:t>：文章在第一部分“I. INTRODUCTION”梳理跳波束资源分配的研究背景时指出，文献[4]根据跳波束的载荷结构（Load structure），提出了一种</w:t>
      </w:r>
      <w:r w:rsidRPr="00CE29A6">
        <w:rPr>
          <w:b/>
          <w:bCs/>
        </w:rPr>
        <w:t>遗传算法（Genetic Algorithm）来平衡系统容量与功率消耗</w:t>
      </w:r>
      <w:r w:rsidRPr="00CE29A6">
        <w:t>。文章借此进一步指出，此类已有研究主要将高信噪比和大系统容量作为优化目标，但未能给出具体的业务分配策略，从而引出本文提出结合业务分布动态调整波束覆盖范围算法的必要性。</w:t>
      </w:r>
    </w:p>
    <w:p w14:paraId="38744175" w14:textId="0ECB3A98" w:rsidR="00806847" w:rsidRDefault="00CE29A6" w:rsidP="00806847">
      <w:r>
        <w:rPr>
          <w:rFonts w:hint="eastAsia"/>
        </w:rPr>
        <w:t xml:space="preserve"> （12）</w:t>
      </w:r>
      <w:proofErr w:type="gramStart"/>
      <w:r w:rsidR="00806847" w:rsidRPr="00806847">
        <w:t xml:space="preserve">  </w:t>
      </w:r>
      <w:r w:rsidR="00806847" w:rsidRPr="00806847">
        <w:rPr>
          <w:b/>
          <w:bCs/>
        </w:rPr>
        <w:t>时延优化与减少等待时间</w:t>
      </w:r>
      <w:proofErr w:type="gramEnd"/>
      <w:r w:rsidR="00806847" w:rsidRPr="00806847">
        <w:t>：文章在引言中引用文献[7]，证明了</w:t>
      </w:r>
      <w:r w:rsidR="00806847" w:rsidRPr="00806847">
        <w:rPr>
          <w:b/>
          <w:bCs/>
        </w:rPr>
        <w:t>采用梯度理论可以推导出数据包排队时延的闭式解，从而能够有效减少业务等待时间</w:t>
      </w:r>
      <w:r w:rsidR="00806847">
        <w:rPr>
          <w:rFonts w:hint="eastAsia"/>
        </w:rPr>
        <w:t>。</w:t>
      </w:r>
      <w:r w:rsidR="00806847" w:rsidRPr="00806847">
        <w:rPr>
          <w:b/>
          <w:bCs/>
        </w:rPr>
        <w:t>传统方法的局限性</w:t>
      </w:r>
      <w:r w:rsidR="00806847" w:rsidRPr="00806847">
        <w:t>：文章进一步指出，尽管文献[7]等传统优化方法能够在一定程度上提升跳波束系统的性能，但它们仍存在</w:t>
      </w:r>
      <w:r w:rsidR="00806847" w:rsidRPr="00806847">
        <w:rPr>
          <w:b/>
          <w:bCs/>
        </w:rPr>
        <w:t>时效性低、优化目标单一且难以适应高动态低轨卫星场景</w:t>
      </w:r>
      <w:r w:rsidR="00806847" w:rsidRPr="00806847">
        <w:t>等局限。这为第一篇文章提出基于深度强化学习的多目标动态调度方案提供了背景和研究动因。</w:t>
      </w:r>
    </w:p>
    <w:p w14:paraId="6CF90DF3" w14:textId="2B76A984" w:rsidR="00806847" w:rsidRDefault="00806847" w:rsidP="00806847">
      <w:r>
        <w:rPr>
          <w:rFonts w:hint="eastAsia"/>
        </w:rPr>
        <w:t xml:space="preserve"> （13）</w:t>
      </w:r>
      <w:proofErr w:type="gramStart"/>
      <w:r w:rsidRPr="00806847">
        <w:t xml:space="preserve">  </w:t>
      </w:r>
      <w:r w:rsidRPr="00806847">
        <w:rPr>
          <w:b/>
          <w:bCs/>
        </w:rPr>
        <w:t>波束划分与时延降低</w:t>
      </w:r>
      <w:proofErr w:type="gramEnd"/>
      <w:r w:rsidRPr="00806847">
        <w:t xml:space="preserve">：文章引用文献[8]，证明了通过将波束位置划分问题转化为 </w:t>
      </w:r>
      <w:r w:rsidRPr="00806847">
        <w:rPr>
          <w:b/>
          <w:bCs/>
        </w:rPr>
        <w:t>p-center 问题</w:t>
      </w:r>
      <w:r w:rsidRPr="00806847">
        <w:t>，可以在低轨（LEO）跳波束系统中</w:t>
      </w:r>
      <w:r w:rsidRPr="00806847">
        <w:rPr>
          <w:b/>
          <w:bCs/>
        </w:rPr>
        <w:t>用最少的波束位置覆盖所有用户，从而有效降低数据包的排队等待时延</w:t>
      </w:r>
      <w:r>
        <w:rPr>
          <w:rFonts w:hint="eastAsia"/>
        </w:rPr>
        <w:t>。</w:t>
      </w:r>
      <w:r w:rsidRPr="00806847">
        <w:rPr>
          <w:b/>
          <w:bCs/>
        </w:rPr>
        <w:t>传统方法的局限性</w:t>
      </w:r>
      <w:r w:rsidRPr="00806847">
        <w:t>：文章指出，尽管文献[8]的优化方法能够提升系统性能并减少排队时延，但此类传统优化方法仍存在</w:t>
      </w:r>
      <w:r w:rsidRPr="00806847">
        <w:rPr>
          <w:b/>
          <w:bCs/>
        </w:rPr>
        <w:t>时效性低、优化目标单一（如仅针对时延）且难以适应高动态低轨卫星场景</w:t>
      </w:r>
      <w:r w:rsidRPr="00806847">
        <w:t>等缺点。这进一步阐明了第一篇文章引入基于多智能体深度强化学习进行多目标（时延、吞吐量、满意度）动态调度的必要性。</w:t>
      </w:r>
    </w:p>
    <w:p w14:paraId="2D0ADBC2" w14:textId="43BB1C5D" w:rsidR="00806847" w:rsidRDefault="00806847" w:rsidP="00806847">
      <w:r>
        <w:rPr>
          <w:rFonts w:hint="eastAsia"/>
        </w:rPr>
        <w:t xml:space="preserve"> （14）</w:t>
      </w:r>
      <w:proofErr w:type="gramStart"/>
      <w:r w:rsidRPr="00806847">
        <w:t xml:space="preserve">  </w:t>
      </w:r>
      <w:r w:rsidRPr="00806847">
        <w:rPr>
          <w:b/>
          <w:bCs/>
        </w:rPr>
        <w:t>容量优化与深度强化学习的应用</w:t>
      </w:r>
      <w:proofErr w:type="gramEnd"/>
      <w:r w:rsidRPr="00806847">
        <w:t>：文章引用文献[9]，证明了</w:t>
      </w:r>
      <w:r w:rsidRPr="00806847">
        <w:rPr>
          <w:b/>
          <w:bCs/>
        </w:rPr>
        <w:t>以最大化吞吐量（系统容量）为目标的深度强化学习算法能够有效用于优化跳波束系统的容量</w:t>
      </w:r>
      <w:r>
        <w:rPr>
          <w:rFonts w:hint="eastAsia"/>
        </w:rPr>
        <w:t>。</w:t>
      </w:r>
      <w:r w:rsidRPr="00806847">
        <w:rPr>
          <w:b/>
          <w:bCs/>
        </w:rPr>
        <w:t>现有强化学习方法的局限性</w:t>
      </w:r>
      <w:r w:rsidRPr="00806847">
        <w:t>：文章进一步指出，尽管文献[9]等现有的深度强化学习方法在单一目标（如吞吐量）上表现优异，但它们仍存在局限：一方面</w:t>
      </w:r>
      <w:r w:rsidRPr="00806847">
        <w:rPr>
          <w:b/>
          <w:bCs/>
        </w:rPr>
        <w:t>优化目标较为单一，缺乏对用户层面服务质量（QoS）及多目标协同的综合考虑</w:t>
      </w:r>
      <w:r w:rsidRPr="00806847">
        <w:t>；另一方面</w:t>
      </w:r>
      <w:r w:rsidRPr="00806847">
        <w:rPr>
          <w:b/>
          <w:bCs/>
        </w:rPr>
        <w:t>部分算法的适用场景与通信体制受限</w:t>
      </w:r>
      <w:r w:rsidRPr="00806847">
        <w:t xml:space="preserve">。这为第一篇文章提出基于 </w:t>
      </w:r>
      <w:proofErr w:type="spellStart"/>
      <w:r w:rsidRPr="00806847">
        <w:t>MoE</w:t>
      </w:r>
      <w:proofErr w:type="spellEnd"/>
      <w:r w:rsidRPr="00806847">
        <w:t xml:space="preserve"> 架构的多目标多智能体深度强化学习方案提供了重要的研究动机。</w:t>
      </w:r>
    </w:p>
    <w:p w14:paraId="38A540B7" w14:textId="7ADC9351" w:rsidR="00806847" w:rsidRDefault="00806847" w:rsidP="00806847">
      <w:r>
        <w:rPr>
          <w:rFonts w:hint="eastAsia"/>
        </w:rPr>
        <w:t>（15）</w:t>
      </w:r>
      <w:r w:rsidRPr="00806847">
        <w:rPr>
          <w:b/>
          <w:bCs/>
        </w:rPr>
        <w:t>证明深度强化学习（DRL）在卫星波束灵活分配与降低数据传输时延方面的有效性</w:t>
      </w:r>
      <w:r>
        <w:rPr>
          <w:rFonts w:hint="eastAsia"/>
        </w:rPr>
        <w:t>。</w:t>
      </w:r>
      <w:r w:rsidRPr="00806847">
        <w:t>具体而言，第一篇文章在引言部分引用该文献，说明前人研究已建立最小化排队时延模型，并利用 DRL 方法实现了波束的灵活分配，从而显著降低了数据传输时</w:t>
      </w:r>
      <w:r w:rsidRPr="00806847">
        <w:lastRenderedPageBreak/>
        <w:t>延</w:t>
      </w:r>
      <w:r>
        <w:rPr>
          <w:rFonts w:hint="eastAsia"/>
        </w:rPr>
        <w:t>。</w:t>
      </w:r>
      <w:r w:rsidRPr="00806847">
        <w:t>同时，第一篇文章也借助该文献指出了</w:t>
      </w:r>
      <w:r w:rsidRPr="00806847">
        <w:rPr>
          <w:b/>
          <w:bCs/>
        </w:rPr>
        <w:t>现有单目标 DRL 方法的局限性</w:t>
      </w:r>
      <w:r w:rsidRPr="00806847">
        <w:t xml:space="preserve">：文献[10]仅以降低排队时延为单一优化目标，未综合考虑不同业务（如非实时业务高吞吐量）的 QoS 需求。这为第一文章提出基于 </w:t>
      </w:r>
      <w:proofErr w:type="spellStart"/>
      <w:r w:rsidRPr="00806847">
        <w:t>MoE</w:t>
      </w:r>
      <w:proofErr w:type="spellEnd"/>
      <w:r w:rsidRPr="00806847">
        <w:t xml:space="preserve"> 架构的多目标多智能体调度算法提供了立论基础与对比依据。</w:t>
      </w:r>
    </w:p>
    <w:p w14:paraId="3E8EE670" w14:textId="0B5B079E" w:rsidR="00806847" w:rsidRDefault="00806847" w:rsidP="00806847">
      <w:r>
        <w:rPr>
          <w:rFonts w:hint="eastAsia"/>
        </w:rPr>
        <w:t xml:space="preserve"> （16）</w:t>
      </w:r>
      <w:r w:rsidRPr="00806847">
        <w:rPr>
          <w:b/>
          <w:bCs/>
        </w:rPr>
        <w:t>证明深度强化学习（DRL）在卫星波束灵活分配与降低数据传输时延方面的有效性</w:t>
      </w:r>
      <w:r>
        <w:rPr>
          <w:rFonts w:hint="eastAsia"/>
        </w:rPr>
        <w:t>，</w:t>
      </w:r>
      <w:r w:rsidRPr="00806847">
        <w:t>具体作用如下：</w:t>
      </w:r>
      <w:r w:rsidRPr="00806847">
        <w:rPr>
          <w:b/>
          <w:bCs/>
        </w:rPr>
        <w:t>理论可行性支撑</w:t>
      </w:r>
      <w:r w:rsidRPr="00806847">
        <w:t>：第一篇文章在引言中引用该文献，证明建立“最小化排队时延模型”并利用 DRL 动态灵活分配波束，能够显著降低数据传输时延[ci</w:t>
      </w:r>
      <w:r>
        <w:rPr>
          <w:rFonts w:hint="eastAsia"/>
        </w:rPr>
        <w:t>。</w:t>
      </w:r>
      <w:r w:rsidRPr="00806847">
        <w:rPr>
          <w:b/>
          <w:bCs/>
        </w:rPr>
        <w:t>立论与对比依据</w:t>
      </w:r>
      <w:r w:rsidRPr="00806847">
        <w:t xml:space="preserve">：第一篇文章同时指出文献[10]等现有研究的不足——仅关注单一时延优化目标或未兼顾多业务 QoS 需求。这为其提出“基于 </w:t>
      </w:r>
      <w:proofErr w:type="spellStart"/>
      <w:r w:rsidRPr="00806847">
        <w:t>MoE</w:t>
      </w:r>
      <w:proofErr w:type="spellEnd"/>
      <w:r w:rsidRPr="00806847">
        <w:t xml:space="preserve"> 架构的多目标多智能体算法”提供了立论切入点，并在后续仿真中作为 Baseline（对比算法 Latency-DRL）进行性能校核。</w:t>
      </w:r>
    </w:p>
    <w:p w14:paraId="7B12E8C1" w14:textId="5DA064AD" w:rsidR="00806847" w:rsidRDefault="00806847" w:rsidP="00806847">
      <w:r>
        <w:rPr>
          <w:rFonts w:hint="eastAsia"/>
        </w:rPr>
        <w:t>（17）</w:t>
      </w:r>
      <w:r w:rsidRPr="00806847">
        <w:rPr>
          <w:b/>
          <w:bCs/>
        </w:rPr>
        <w:t>理论与可行性支撑</w:t>
      </w:r>
      <w:r w:rsidRPr="00806847">
        <w:t>：第一篇文章在引言中引用该文献，说明前人研究已建立最小化排队时延模型，并利用 DRL 方法实现了波束的灵活分配，从而降低数据传输时延</w:t>
      </w:r>
      <w:r>
        <w:rPr>
          <w:rFonts w:hint="eastAsia"/>
        </w:rPr>
        <w:t>。</w:t>
      </w:r>
      <w:r w:rsidRPr="00806847">
        <w:rPr>
          <w:b/>
          <w:bCs/>
        </w:rPr>
        <w:t>技术演进与立论依据</w:t>
      </w:r>
      <w:r w:rsidRPr="00806847">
        <w:t xml:space="preserve">：第一篇文章指出文献[11]等现有研究仍存在局限性，例如仅考虑单目标的资源调度优化，未兼顾用户层面的 QoS 需求[cite: 1, 4]。这为第一篇文章提出“基于 </w:t>
      </w:r>
      <w:proofErr w:type="spellStart"/>
      <w:r w:rsidRPr="00806847">
        <w:t>MoE</w:t>
      </w:r>
      <w:proofErr w:type="spellEnd"/>
      <w:r w:rsidRPr="00806847">
        <w:t xml:space="preserve"> 架构的多目标多智能体调度算法”提供了立论依据与切入点。 </w:t>
      </w:r>
    </w:p>
    <w:p w14:paraId="69E25F9C" w14:textId="2C4816D1" w:rsidR="00806847" w:rsidRDefault="00806847" w:rsidP="00806847">
      <w:r>
        <w:rPr>
          <w:rFonts w:hint="eastAsia"/>
        </w:rPr>
        <w:t xml:space="preserve"> （18）</w:t>
      </w:r>
      <w:r w:rsidRPr="00806847">
        <w:rPr>
          <w:b/>
          <w:bCs/>
        </w:rPr>
        <w:t>理论与应用可行性支撑</w:t>
      </w:r>
      <w:r w:rsidRPr="00806847">
        <w:t>：第一篇文章在引言中引用该文献，说明在非地面网络（NTN）及跳波束系统中，借助 DRL 方法能够有效实现波束管理与多维资源配置的协同优化</w:t>
      </w:r>
      <w:r>
        <w:rPr>
          <w:rFonts w:hint="eastAsia"/>
        </w:rPr>
        <w:t>。</w:t>
      </w:r>
      <w:r w:rsidRPr="00806847">
        <w:rPr>
          <w:b/>
          <w:bCs/>
        </w:rPr>
        <w:t>技术局限性对比与立论依据</w:t>
      </w:r>
      <w:r w:rsidRPr="00806847">
        <w:t xml:space="preserve">：第一篇文章指出文献[12]等现有 DRL 方法的不足——在进行多目标资源调度优化时，未充分考虑用户层面的服务质量（QoS）需求，且未解决大规模低轨星座下多智能体交互导致的训练开销剧增问题。这为第一文章提出“引入 </w:t>
      </w:r>
      <w:proofErr w:type="spellStart"/>
      <w:r w:rsidRPr="00806847">
        <w:t>MoE</w:t>
      </w:r>
      <w:proofErr w:type="spellEnd"/>
      <w:r w:rsidRPr="00806847">
        <w:t xml:space="preserve"> 架构”以及“去中心化多智能体训练”提供了立论依据与改进方向。</w:t>
      </w:r>
    </w:p>
    <w:p w14:paraId="44CBD746" w14:textId="37815969" w:rsidR="000A16C5" w:rsidRDefault="00806847" w:rsidP="000A16C5">
      <w:r>
        <w:rPr>
          <w:rFonts w:hint="eastAsia"/>
        </w:rPr>
        <w:t xml:space="preserve"> （19</w:t>
      </w:r>
      <w:r w:rsidR="000A16C5">
        <w:rPr>
          <w:rFonts w:hint="eastAsia"/>
        </w:rPr>
        <w:t>）</w:t>
      </w:r>
      <w:r w:rsidR="000A16C5" w:rsidRPr="000A16C5">
        <w:rPr>
          <w:b/>
          <w:bCs/>
        </w:rPr>
        <w:t>说明现有研究的局限性</w:t>
      </w:r>
      <w:r w:rsidR="000A16C5" w:rsidRPr="000A16C5">
        <w:t xml:space="preserve">：引述文献[14]提出了一种适用于DVB-S2X体制卫星的无模型多目标深度强化学习方法（结合双环学习DLL策略），用以指出现有方法多适用于高轨卫星或单一体制，难以直接泛化并完全适用于高动态的低轨跳波束星座系统。 </w:t>
      </w:r>
      <w:r w:rsidR="000A16C5" w:rsidRPr="000A16C5">
        <w:rPr>
          <w:b/>
          <w:bCs/>
        </w:rPr>
        <w:t>构建业务与系统模型</w:t>
      </w:r>
      <w:r w:rsidR="000A16C5" w:rsidRPr="000A16C5">
        <w:t xml:space="preserve">：借鉴其归一化的业务量时间加权因子建立时间业务量模型，并采用其泊松模型与超时丢弃机制来建模实时/非实时业务数据包的到达过程及时延约束。 </w:t>
      </w:r>
      <w:r w:rsidR="000A16C5" w:rsidRPr="000A16C5">
        <w:rPr>
          <w:b/>
          <w:bCs/>
        </w:rPr>
        <w:t>算法对比与性能验证</w:t>
      </w:r>
      <w:r w:rsidR="000A16C5" w:rsidRPr="000A16C5">
        <w:t>：在仿真实验中，将文献[14]提出的算法（Throughput-DRL和Latency-DRL）作为基准对比方案。对比结果证明，本文提出的基于</w:t>
      </w:r>
      <w:proofErr w:type="spellStart"/>
      <w:r w:rsidR="000A16C5" w:rsidRPr="000A16C5">
        <w:t>MoE</w:t>
      </w:r>
      <w:proofErr w:type="spellEnd"/>
      <w:r w:rsidR="000A16C5" w:rsidRPr="000A16C5">
        <w:t>的多智能体算法在保证与单目标算法相当的时延/吞吐量性能的同时，大幅提升了服务满意度，具有更强的综合优化效果与时空泛化能力。</w:t>
      </w:r>
    </w:p>
    <w:p w14:paraId="53FEFDAA" w14:textId="3554AE07" w:rsidR="000A16C5" w:rsidRPr="000A16C5" w:rsidRDefault="000A16C5" w:rsidP="000A16C5">
      <w:r>
        <w:rPr>
          <w:rFonts w:hint="eastAsia"/>
        </w:rPr>
        <w:t>（20）</w:t>
      </w:r>
      <w:r w:rsidRPr="000A16C5">
        <w:rPr>
          <w:b/>
          <w:bCs/>
        </w:rPr>
        <w:t>建模实时业务（Real-Time Traffic）的延迟约束与丢包机制</w:t>
      </w:r>
      <w:r w:rsidRPr="000A16C5">
        <w:t>：在构建系统模型（II. SYSTEM MODEL AND PROBLEM FORMULATION - A. System Model）时，</w:t>
      </w:r>
      <w:proofErr w:type="gramStart"/>
      <w:r w:rsidRPr="000A16C5">
        <w:t>文章引用文献[26]来说明实时</w:t>
      </w:r>
      <w:proofErr w:type="gramEnd"/>
      <w:r w:rsidRPr="000A16C5">
        <w:t xml:space="preserve">（RT）业务缓存区（Buffer）的存活时间（TTL, Time </w:t>
      </w:r>
      <w:proofErr w:type="gramStart"/>
      <w:r w:rsidRPr="000A16C5">
        <w:t>To</w:t>
      </w:r>
      <w:proofErr w:type="gramEnd"/>
      <w:r w:rsidRPr="000A16C5">
        <w:t xml:space="preserve"> Live）机制。即RT业务的缓存区仅保存过去 </w:t>
      </w:r>
      <m:oMath>
        <m:sSub>
          <m:sSubPr>
            <m:ctrlPr>
              <w:rPr>
                <w:rFonts w:ascii="Cambria Math" w:hAnsi="Cambria Math"/>
              </w:rPr>
            </m:ctrlPr>
          </m:sSubPr>
          <m:e>
            <m:r>
              <w:rPr>
                <w:rFonts w:ascii="Cambria Math" w:hAnsi="Cambria Math"/>
              </w:rPr>
              <m:t>T</m:t>
            </m:r>
          </m:e>
          <m:sub>
            <m:r>
              <m:rPr>
                <m:nor/>
              </m:rPr>
              <m:t>ttl</m:t>
            </m:r>
          </m:sub>
        </m:sSub>
      </m:oMath>
      <w:r w:rsidRPr="000A16C5">
        <w:t xml:space="preserve"> 个时隙内到达的数据包，若数据包在 </w:t>
      </w:r>
      <m:oMath>
        <m:sSub>
          <m:sSubPr>
            <m:ctrlPr>
              <w:rPr>
                <w:rFonts w:ascii="Cambria Math" w:hAnsi="Cambria Math"/>
              </w:rPr>
            </m:ctrlPr>
          </m:sSubPr>
          <m:e>
            <m:r>
              <w:rPr>
                <w:rFonts w:ascii="Cambria Math" w:hAnsi="Cambria Math"/>
              </w:rPr>
              <m:t>T</m:t>
            </m:r>
          </m:e>
          <m:sub>
            <m:r>
              <m:rPr>
                <m:nor/>
              </m:rPr>
              <m:t>ttl</m:t>
            </m:r>
          </m:sub>
        </m:sSub>
      </m:oMath>
      <w:r w:rsidRPr="000A16C5">
        <w:t xml:space="preserve"> 个时隙内未被成功发送，则将被丢弃。</w:t>
      </w:r>
    </w:p>
    <w:p w14:paraId="39A2ECB8" w14:textId="1E19F781" w:rsidR="000A16C5" w:rsidRDefault="000A16C5" w:rsidP="000A16C5">
      <w:r>
        <w:rPr>
          <w:rFonts w:hint="eastAsia"/>
        </w:rPr>
        <w:lastRenderedPageBreak/>
        <w:t>（21）</w:t>
      </w:r>
      <w:r w:rsidRPr="000A16C5">
        <w:rPr>
          <w:b/>
          <w:bCs/>
        </w:rPr>
        <w:t>建立映射与选星策略</w:t>
      </w:r>
      <w:r w:rsidRPr="000A16C5">
        <w:t>：文章利用参考文献 [18]（即第二个 PDF）提出的</w:t>
      </w:r>
      <w:r w:rsidRPr="000A16C5">
        <w:rPr>
          <w:b/>
          <w:bCs/>
        </w:rPr>
        <w:t>综合加权策略</w:t>
      </w:r>
      <w:r w:rsidRPr="000A16C5">
        <w:t>，综合考量低轨卫星与地面终端的</w:t>
      </w:r>
      <w:r w:rsidRPr="000A16C5">
        <w:rPr>
          <w:b/>
          <w:bCs/>
        </w:rPr>
        <w:t>剩余服务时间</w:t>
      </w:r>
      <w:r w:rsidRPr="000A16C5">
        <w:t>和</w:t>
      </w:r>
      <w:r w:rsidRPr="000A16C5">
        <w:rPr>
          <w:b/>
          <w:bCs/>
        </w:rPr>
        <w:t>星地传输距离</w:t>
      </w:r>
      <w:r w:rsidRPr="000A16C5">
        <w:t xml:space="preserve">两个核心因素，采用加权算法设计效用函数。 </w:t>
      </w:r>
      <w:r w:rsidRPr="000A16C5">
        <w:rPr>
          <w:b/>
          <w:bCs/>
        </w:rPr>
        <w:t>证明时变映射关系</w:t>
      </w:r>
      <w:r w:rsidRPr="000A16C5">
        <w:t>：通过选择效用函数值最大的卫星进行服务接入与星间切换，</w:t>
      </w:r>
      <w:r w:rsidRPr="000A16C5">
        <w:rPr>
          <w:b/>
          <w:bCs/>
        </w:rPr>
        <w:t>证明并构建了低轨卫星与地面服务区域随时间动态变化的映射关系</w:t>
      </w:r>
      <w:r w:rsidRPr="000A16C5">
        <w:t>，为后续多智能体深度强化学习在时空二维尺度上的跳波束资源调度奠定了系统模型基础。</w:t>
      </w:r>
    </w:p>
    <w:p w14:paraId="527BF7FE" w14:textId="492E6F42" w:rsidR="000A16C5" w:rsidRDefault="000A16C5" w:rsidP="000A16C5">
      <w:r>
        <w:rPr>
          <w:rFonts w:hint="eastAsia"/>
        </w:rPr>
        <w:t>（22）</w:t>
      </w:r>
      <w:r w:rsidRPr="000A16C5">
        <w:rPr>
          <w:b/>
          <w:bCs/>
        </w:rPr>
        <w:t>说明流量突发性与拓扑时变性</w:t>
      </w:r>
      <w:r w:rsidRPr="000A16C5">
        <w:t>：文章在引言部分引用卫星网络流量特征分析的相关研究，用以说明在天地一体化信息网络中，卫星运动导致拓扑结构高度动态变化。卫星节点在链路切换或对地不可见时会产生</w:t>
      </w:r>
      <w:r w:rsidRPr="000A16C5">
        <w:rPr>
          <w:b/>
          <w:bCs/>
        </w:rPr>
        <w:t>周期性中断</w:t>
      </w:r>
      <w:r w:rsidRPr="000A16C5">
        <w:t xml:space="preserve">；同时网络流量存在非周期性的突发增减，导致流量序列中频繁出现“断点”。 </w:t>
      </w:r>
      <w:r w:rsidRPr="000A16C5">
        <w:rPr>
          <w:b/>
          <w:bCs/>
        </w:rPr>
        <w:t>强调传统预处理方法的局限</w:t>
      </w:r>
      <w:r w:rsidRPr="000A16C5">
        <w:t xml:space="preserve">：基于上述文献对流量特性的总结，文章指出直接对断点取前后均值会破坏突发性特征，若不妥善处理将严重影响预测精度与神经网络训练。 </w:t>
      </w:r>
      <w:r w:rsidRPr="000A16C5">
        <w:rPr>
          <w:b/>
          <w:bCs/>
        </w:rPr>
        <w:t>引出本文改进行动与模型设计</w:t>
      </w:r>
      <w:r w:rsidRPr="000A16C5">
        <w:t>：文章以此为依据，提出了“以预测值代替断点”的数据预处理分段训练方法，结合 Dropout 算法来消除断点和噪声的影响，从而提升长短期记忆网络（LSTM）在天地一体化网络流量预测中的准确度和训练速度。</w:t>
      </w:r>
    </w:p>
    <w:p w14:paraId="60534DD2" w14:textId="0BD9A17B" w:rsidR="005027EE" w:rsidRDefault="000A16C5" w:rsidP="005027EE">
      <w:r>
        <w:rPr>
          <w:rFonts w:hint="eastAsia"/>
        </w:rPr>
        <w:t>（23）</w:t>
      </w:r>
      <w:r w:rsidR="005027EE" w:rsidRPr="005027EE">
        <w:t xml:space="preserve">论文在 </w:t>
      </w:r>
      <w:r w:rsidR="005027EE" w:rsidRPr="005027EE">
        <w:rPr>
          <w:b/>
          <w:bCs/>
        </w:rPr>
        <w:t>1.4 节“业务建模”</w:t>
      </w:r>
      <w:r w:rsidR="005027EE" w:rsidRPr="005027EE">
        <w:t xml:space="preserve"> 中，为了定量分析业务空间分布的不均匀性及其对资源调度算法的影响，引入了</w:t>
      </w:r>
      <w:r w:rsidR="005027EE" w:rsidRPr="005027EE">
        <w:rPr>
          <w:b/>
          <w:bCs/>
        </w:rPr>
        <w:t xml:space="preserve">业务空间分布离散系数 </w:t>
      </w:r>
      <m:oMath>
        <m:r>
          <w:rPr>
            <w:rFonts w:ascii="Cambria Math" w:hAnsi="Cambria Math"/>
          </w:rPr>
          <m:t>ζ</m:t>
        </m:r>
      </m:oMath>
      <w:r w:rsidR="005027EE" w:rsidRPr="005027EE">
        <w:t xml:space="preserve">（通过公式 </w:t>
      </w:r>
      <w:proofErr w:type="gramStart"/>
      <w:r w:rsidR="005027EE" w:rsidRPr="005027EE">
        <w:t>(8)</w:t>
      </w:r>
      <w:proofErr w:type="gramEnd"/>
      <w:r w:rsidR="005027EE" w:rsidRPr="005027EE">
        <w:t xml:space="preserve"> 计算：</w:t>
      </w:r>
      <m:oMath>
        <m:r>
          <w:rPr>
            <w:rFonts w:ascii="Cambria Math" w:hAnsi="Cambria Math"/>
          </w:rPr>
          <m:t>ζ=</m:t>
        </m:r>
        <m:sSub>
          <m:sSubPr>
            <m:ctrlPr>
              <w:rPr>
                <w:rFonts w:ascii="Cambria Math" w:hAnsi="Cambria Math"/>
              </w:rPr>
            </m:ctrlPr>
          </m:sSubPr>
          <m:e>
            <m:r>
              <w:rPr>
                <w:rFonts w:ascii="Cambria Math" w:hAnsi="Cambria Math"/>
              </w:rPr>
              <m:t>S</m:t>
            </m:r>
          </m:e>
          <m:sub>
            <m:r>
              <m:rPr>
                <m:nor/>
              </m:rPr>
              <m:t>ATD</m:t>
            </m:r>
          </m:sub>
        </m:sSub>
        <m:r>
          <w:rPr>
            <w:rFonts w:ascii="Cambria Math" w:hAnsi="Cambria Math"/>
          </w:rPr>
          <m:t>/</m:t>
        </m:r>
        <m:sSub>
          <m:sSubPr>
            <m:ctrlPr>
              <w:rPr>
                <w:rFonts w:ascii="Cambria Math" w:hAnsi="Cambria Math"/>
              </w:rPr>
            </m:ctrlPr>
          </m:sSubPr>
          <m:e>
            <m:r>
              <m:rPr>
                <m:nor/>
              </m:rPr>
              <m:t>Mean</m:t>
            </m:r>
          </m:e>
          <m:sub>
            <m:r>
              <m:rPr>
                <m:nor/>
              </m:rPr>
              <m:t>ATD</m:t>
            </m:r>
          </m:sub>
        </m:sSub>
      </m:oMath>
      <w:r w:rsidR="005027EE" w:rsidRPr="005027EE">
        <w:t>）。英文文本正是在为此定义提供文献支撑，证明了通过该指标表征非均匀交通场景并评估低轨星座/多波束有效载荷性能的方法在学术界是成熟且被公认的</w:t>
      </w:r>
    </w:p>
    <w:p w14:paraId="06DAAA20" w14:textId="3DA6095B" w:rsidR="005027EE" w:rsidRPr="005027EE" w:rsidRDefault="005027EE" w:rsidP="005027EE">
      <w:r>
        <w:rPr>
          <w:rFonts w:hint="eastAsia"/>
        </w:rPr>
        <w:t>（24）</w:t>
      </w:r>
      <w:r w:rsidRPr="005027EE">
        <w:t xml:space="preserve"> </w:t>
      </w:r>
      <w:r w:rsidRPr="005027EE">
        <w:rPr>
          <w:b/>
          <w:bCs/>
        </w:rPr>
        <w:t>指标公式定义（公式 8）</w:t>
      </w:r>
      <w:r w:rsidRPr="005027EE">
        <w:t xml:space="preserve">： 中文论文中引入的离散系数公式： </w:t>
      </w:r>
    </w:p>
    <w:p w14:paraId="0DBD497F" w14:textId="454981DA" w:rsidR="005027EE" w:rsidRPr="005027EE" w:rsidRDefault="005027EE" w:rsidP="005027EE">
      <m:oMathPara>
        <m:oMath>
          <m:r>
            <w:rPr>
              <w:rFonts w:ascii="Cambria Math" w:hAnsi="Cambria Math"/>
            </w:rPr>
            <m:t>ζ=</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ATD</m:t>
                  </m:r>
                </m:sub>
              </m:sSub>
            </m:num>
            <m:den>
              <m:sSub>
                <m:sSubPr>
                  <m:ctrlPr>
                    <w:rPr>
                      <w:rFonts w:ascii="Cambria Math" w:hAnsi="Cambria Math"/>
                    </w:rPr>
                  </m:ctrlPr>
                </m:sSubPr>
                <m:e>
                  <m:r>
                    <m:rPr>
                      <m:nor/>
                    </m:rPr>
                    <m:t>Mean</m:t>
                  </m:r>
                </m:e>
                <m:sub>
                  <m:r>
                    <m:rPr>
                      <m:nor/>
                    </m:rPr>
                    <m:t>ATD</m:t>
                  </m:r>
                </m:sub>
              </m:sSub>
            </m:den>
          </m:f>
        </m:oMath>
      </m:oMathPara>
    </w:p>
    <w:p w14:paraId="31B945A2" w14:textId="24127E6C" w:rsidR="005027EE" w:rsidRPr="005027EE" w:rsidRDefault="005027EE" w:rsidP="005027EE">
      <w:r w:rsidRPr="005027EE">
        <w:t xml:space="preserve">完全对应 Vidal 论文（PDF 第 7 页第 4.2 节）中定义的非均匀性参数 </w:t>
      </w:r>
      <m:oMath>
        <m:r>
          <w:rPr>
            <w:rFonts w:ascii="Cambria Math" w:hAnsi="Cambria Math"/>
          </w:rPr>
          <m:t>μ</m:t>
        </m:r>
      </m:oMath>
      <w:r w:rsidRPr="005027EE">
        <w:t>（Summary 及第 7 页公式 5）[cite: 1, 2]：</w:t>
      </w:r>
    </w:p>
    <w:p w14:paraId="2BB1300B" w14:textId="749FB6A3" w:rsidR="005027EE" w:rsidRPr="005027EE" w:rsidRDefault="005027EE" w:rsidP="005027EE">
      <m:oMathPara>
        <m:oMath>
          <m:r>
            <w:rPr>
              <w:rFonts w:ascii="Cambria Math" w:hAnsi="Cambria Math"/>
            </w:rPr>
            <m:t>μ=</m:t>
          </m:r>
          <m:f>
            <m:fPr>
              <m:ctrlPr>
                <w:rPr>
                  <w:rFonts w:ascii="Cambria Math" w:hAnsi="Cambria Math"/>
                </w:rPr>
              </m:ctrlPr>
            </m:fPr>
            <m:num>
              <m:r>
                <m:rPr>
                  <m:nor/>
                </m:rPr>
                <m:t>standard deviation of ATD</m:t>
              </m:r>
            </m:num>
            <m:den>
              <m:r>
                <m:rPr>
                  <m:nor/>
                </m:rPr>
                <m:t>mean of ATD</m:t>
              </m:r>
            </m:den>
          </m:f>
        </m:oMath>
      </m:oMathPara>
    </w:p>
    <w:p w14:paraId="03A62442" w14:textId="491F6148" w:rsidR="005027EE" w:rsidRDefault="005027EE" w:rsidP="005027EE">
      <w:r w:rsidRPr="005027EE">
        <w:t>两者数学本质完全一致，均为</w:t>
      </w:r>
      <w:r w:rsidRPr="005027EE">
        <w:rPr>
          <w:b/>
          <w:bCs/>
        </w:rPr>
        <w:t>地面区域聚合业务需求（ATD）的标准差与均值之比</w:t>
      </w:r>
      <w:r>
        <w:rPr>
          <w:rFonts w:hint="eastAsia"/>
        </w:rPr>
        <w:t>。</w:t>
      </w:r>
      <w:r w:rsidRPr="005027EE">
        <w:rPr>
          <w:b/>
          <w:bCs/>
        </w:rPr>
        <w:t>方法论应用</w:t>
      </w:r>
      <w:r w:rsidRPr="005027EE">
        <w:t>： Vidal 论文证明了利用该参数（</w:t>
      </w:r>
      <m:oMath>
        <m:r>
          <w:rPr>
            <w:rFonts w:ascii="Cambria Math" w:hAnsi="Cambria Math"/>
          </w:rPr>
          <m:t>μ</m:t>
        </m:r>
      </m:oMath>
      <w:r w:rsidRPr="005027EE">
        <w:t xml:space="preserve"> 或 </w:t>
      </w:r>
      <m:oMath>
        <m:r>
          <w:rPr>
            <w:rFonts w:ascii="Cambria Math" w:hAnsi="Cambria Math"/>
          </w:rPr>
          <m:t>ζ</m:t>
        </m:r>
      </m:oMath>
      <w:r w:rsidRPr="005027EE">
        <w:t xml:space="preserve">）可以定量刻画全球不同区域用户分布从均匀到高度聚集（如城市、枢纽）的变化趋势，并能有效评估低轨超星座（LEO </w:t>
      </w:r>
      <w:proofErr w:type="spellStart"/>
      <w:r w:rsidRPr="005027EE">
        <w:t>Megaconstellations</w:t>
      </w:r>
      <w:proofErr w:type="spellEnd"/>
      <w:r w:rsidRPr="005027EE">
        <w:t xml:space="preserve">）与跳波束（Beam Hopping）等载荷架构在非均匀流量下的性能表现。中文论文据此采纳该参数作为评估其深度强化学习调度算法泛化性的核心变量。 </w:t>
      </w:r>
    </w:p>
    <w:p w14:paraId="66BA39A3" w14:textId="3109D0B9" w:rsidR="005027EE" w:rsidRDefault="005027EE" w:rsidP="005027EE">
      <w:r>
        <w:rPr>
          <w:rFonts w:hint="eastAsia"/>
        </w:rPr>
        <w:t>（25）</w:t>
      </w:r>
      <w:r w:rsidRPr="005027EE">
        <w:t>论文在对低轨卫星宽带业务进行建模时，参考了该 3GPP 规范/提案对 LTE 物理层性能评估的框架标准，将卫星承载的宽带业务（语音/视频会话、流媒体、数据传输等）明确划分为实时业务（时延敏感型）</w:t>
      </w:r>
      <w:r w:rsidRPr="005027EE">
        <w:rPr>
          <w:b/>
          <w:bCs/>
        </w:rPr>
        <w:t>和</w:t>
      </w:r>
      <w:r w:rsidRPr="005027EE">
        <w:t>非实时业务（速率/吞吐量敏感型）两大</w:t>
      </w:r>
      <w:r w:rsidRPr="005027EE">
        <w:lastRenderedPageBreak/>
        <w:t>类。论文在训练和验证其基于多智能体深度强化学习（MA-DRL）的跳波束资源调度算法时，明确说明</w:t>
      </w:r>
      <w:r w:rsidRPr="005027EE">
        <w:rPr>
          <w:b/>
          <w:bCs/>
        </w:rPr>
        <w:t>训练数据集中的业务数据是依据 3GPP 协议（包括 R1-070674 等标准）规定的业务模型生成的</w:t>
      </w:r>
      <w:r w:rsidRPr="005027EE">
        <w:t>。这证明了论文仿真所采用的业务流量模型具有符合国际移动通信标准的权威性和客观性。</w:t>
      </w:r>
    </w:p>
    <w:p w14:paraId="1506A576" w14:textId="31E6C3BE" w:rsidR="00EF7940" w:rsidRDefault="005027EE" w:rsidP="00EF7940">
      <w:r>
        <w:rPr>
          <w:rFonts w:hint="eastAsia"/>
        </w:rPr>
        <w:t>（26）</w:t>
      </w:r>
      <w:r w:rsidR="00EF7940" w:rsidRPr="00EF7940">
        <w:rPr>
          <w:b/>
          <w:bCs/>
        </w:rPr>
        <w:t>业务类型的划分依据</w:t>
      </w:r>
      <w:r w:rsidR="00EF7940" w:rsidRPr="00EF7940">
        <w:t xml:space="preserve">：在构建业务量模型时，证明了将卫星宽带业务依据不同QoS需求划分为“实时业务”（如语音/视频会话，注重低时延）与“非实时业务”（如流媒体/数据传输，注重高吞吐量）两大类的合理性。 </w:t>
      </w:r>
      <w:r w:rsidR="00EF7940" w:rsidRPr="00EF7940">
        <w:rPr>
          <w:b/>
          <w:bCs/>
        </w:rPr>
        <w:t>数据包到达过程的数学建模</w:t>
      </w:r>
      <w:r w:rsidR="00EF7940" w:rsidRPr="00EF7940">
        <w:t>：证明了采用泊松分布（泊松模型）来准确描述和建模实时与非实时业务数据包的到达过程是有效且可行的。 此外，在对资源调度进行最优化问题建模时，文章也参考了该文献中</w:t>
      </w:r>
      <w:r w:rsidR="00EF7940" w:rsidRPr="00EF7940">
        <w:rPr>
          <w:b/>
          <w:bCs/>
        </w:rPr>
        <w:t>最小化实时业务数据包平均排队时延</w:t>
      </w:r>
      <w:r w:rsidR="00EF7940" w:rsidRPr="00EF7940">
        <w:t>以及</w:t>
      </w:r>
      <w:r w:rsidR="00EF7940" w:rsidRPr="00EF7940">
        <w:rPr>
          <w:b/>
          <w:bCs/>
        </w:rPr>
        <w:t>最大化非实时业务数据包吞吐量</w:t>
      </w:r>
      <w:r w:rsidR="00EF7940" w:rsidRPr="00EF7940">
        <w:t xml:space="preserve">的优化目标构建方法。 </w:t>
      </w:r>
    </w:p>
    <w:p w14:paraId="22D0C87D" w14:textId="4C4E9F18" w:rsidR="00EF7940" w:rsidRDefault="00EF7940" w:rsidP="00EF7940">
      <w:r>
        <w:rPr>
          <w:rFonts w:hint="eastAsia"/>
        </w:rPr>
        <w:t>（27）</w:t>
      </w:r>
      <w:r w:rsidRPr="00EF7940">
        <w:t>文章在设计多目标深度强化学习算法的动作选择策略时，引入了线性标量化函数（Linear Scalarization, LS）。文献[29]作为该方法的基础理论来源，证明了在多目标优化或非标量性能指标（non-scalar-valued performance criteria）场景下，可以通过对多个目标函数进行线性标量化加权组合，将多目标判定转化为单一综合指标，从而帮助智能体从输出的多组Q值中准确选择出最大综合收益对应的最优波束调度动作。</w:t>
      </w:r>
    </w:p>
    <w:p w14:paraId="7667C927" w14:textId="13A7CFAE" w:rsidR="00EF7940" w:rsidRDefault="00EF7940" w:rsidP="00EF7940">
      <w:r>
        <w:rPr>
          <w:rFonts w:hint="eastAsia"/>
        </w:rPr>
        <w:t>（28）</w:t>
      </w:r>
      <w:r w:rsidRPr="00EF7940">
        <w:t>文章在2.2.2 节（动作设计）中，提出了基于多目标DQN的动作选择策略。文章引入了文献[30]中提出的决策值/标量化处理思想（Decision Values / Linear Scalarization），用以支撑将多个独立Q网络生成的Q值经过归一化后，通过线性标量化函数合并计算，并最终选取综合Q值最大的动作（如波束调度策略）这一决策逻辑。</w:t>
      </w:r>
    </w:p>
    <w:p w14:paraId="0AB12C43" w14:textId="77C00EF2" w:rsidR="00EF7940" w:rsidRDefault="00EF7940" w:rsidP="00EF7940">
      <w:r>
        <w:rPr>
          <w:rFonts w:hint="eastAsia"/>
        </w:rPr>
        <w:t>（29）</w:t>
      </w:r>
      <w:r w:rsidRPr="00EF7940">
        <w:t xml:space="preserve">在论文的 </w:t>
      </w:r>
      <w:r w:rsidRPr="00EF7940">
        <w:rPr>
          <w:b/>
          <w:bCs/>
        </w:rPr>
        <w:t>2.3 节（训练流程）</w:t>
      </w:r>
      <w:r w:rsidRPr="00EF7940">
        <w:t xml:space="preserve"> 中，作者提到了为了提高深度强化学习算法的训练稳定性，引入了经验池（Experience Replay）</w:t>
      </w:r>
      <w:r w:rsidRPr="00EF7940">
        <w:rPr>
          <w:b/>
          <w:bCs/>
        </w:rPr>
        <w:t>与</w:t>
      </w:r>
      <w:r w:rsidRPr="00EF7940">
        <w:t xml:space="preserve">目标网络（Target Network）机制。 </w:t>
      </w:r>
      <w:r w:rsidRPr="00EF7940">
        <w:rPr>
          <w:b/>
          <w:bCs/>
        </w:rPr>
        <w:t>文献[31]</w:t>
      </w:r>
      <w:r w:rsidRPr="00EF7940">
        <w:t xml:space="preserve"> 在此作为强化学习基础理论的权威综述被引用，用以说明在智能体与环境交互过程中，将生成的四元组样本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e>
        </m:d>
      </m:oMath>
      <w:r w:rsidRPr="00EF7940">
        <w:t xml:space="preserve"> 存入经验池并进行随机采样回放，能够有效</w:t>
      </w:r>
      <w:r w:rsidRPr="00EF7940">
        <w:rPr>
          <w:b/>
          <w:bCs/>
        </w:rPr>
        <w:t>打破神经网络训练过程中数据之间的相关性</w:t>
      </w:r>
      <w:r w:rsidRPr="00EF7940">
        <w:t>，确保神经网络是在学习独立同分布（</w:t>
      </w:r>
      <w:proofErr w:type="spellStart"/>
      <w:r w:rsidRPr="00EF7940">
        <w:t>i.i.d.</w:t>
      </w:r>
      <w:proofErr w:type="spellEnd"/>
      <w:r w:rsidRPr="00EF7940">
        <w:t xml:space="preserve">）的数据，从而提升训练收敛性与稳定性。 </w:t>
      </w:r>
    </w:p>
    <w:p w14:paraId="74C6A6B0" w14:textId="77689FA9" w:rsidR="00EF7940" w:rsidRPr="00EF7940" w:rsidRDefault="00EF7940" w:rsidP="00EF7940">
      <w:r>
        <w:rPr>
          <w:rFonts w:hint="eastAsia"/>
        </w:rPr>
        <w:t>（30）</w:t>
      </w:r>
      <w:r w:rsidRPr="00EF7940">
        <w:rPr>
          <w:b/>
          <w:bCs/>
        </w:rPr>
        <w:t>证明跳波束技术（Beam Hopping, BH）相对于传统多波束卫星的优势</w:t>
      </w:r>
      <w:r w:rsidRPr="00EF7940">
        <w:t xml:space="preserve">： 在第一篇论文的 </w:t>
      </w:r>
      <w:r w:rsidRPr="00EF7940">
        <w:rPr>
          <w:b/>
          <w:bCs/>
        </w:rPr>
        <w:t>1.1 节（研究背景及意义）</w:t>
      </w:r>
      <w:r w:rsidRPr="00EF7940">
        <w:t xml:space="preserve"> 和 </w:t>
      </w:r>
      <w:r w:rsidRPr="00EF7940">
        <w:rPr>
          <w:b/>
          <w:bCs/>
        </w:rPr>
        <w:t>1.2.3 节（资源分配方法研究现状）</w:t>
      </w:r>
      <w:r w:rsidRPr="00EF7940">
        <w:t xml:space="preserve"> 中，作者引用了文献[32]： 用以说明在星上资源受限（有效载荷与频谱受限）及地面业务时空分布极不均匀的背景下，</w:t>
      </w:r>
      <w:r w:rsidRPr="00EF7940">
        <w:rPr>
          <w:b/>
          <w:bCs/>
        </w:rPr>
        <w:t>跳波束技术能够从功率、频率、空间、时间四个维度灵活分配星上资源</w:t>
      </w:r>
      <w:r w:rsidRPr="00EF7940">
        <w:t xml:space="preserve">，是解决卫星通信资源碎片化调度、提升系统灵活性与容量的关键技术。 </w:t>
      </w:r>
      <w:r w:rsidRPr="00EF7940">
        <w:rPr>
          <w:b/>
          <w:bCs/>
        </w:rPr>
        <w:t>支撑全频率复用下基于波束分簇的跳波束图案优化理论</w:t>
      </w:r>
      <w:r w:rsidRPr="00EF7940">
        <w:t xml:space="preserve">： 在第一篇论文 </w:t>
      </w:r>
      <w:r w:rsidRPr="00EF7940">
        <w:rPr>
          <w:b/>
          <w:bCs/>
        </w:rPr>
        <w:t>1.2.3 节（资源分配方法研究现状）</w:t>
      </w:r>
      <w:r w:rsidRPr="00EF7940">
        <w:t xml:space="preserve"> 和 </w:t>
      </w:r>
      <w:r w:rsidRPr="00EF7940">
        <w:rPr>
          <w:b/>
          <w:bCs/>
        </w:rPr>
        <w:t>4.2.1 节（基于深度强化学习的跳波束资源动态分配方法 - 动作定义）</w:t>
      </w:r>
      <w:r w:rsidRPr="00EF7940">
        <w:t xml:space="preserve"> 中，作者引用了文献[32]： </w:t>
      </w:r>
      <w:r w:rsidRPr="00EF7940">
        <w:rPr>
          <w:b/>
          <w:bCs/>
        </w:rPr>
        <w:t>证明波束分簇可有效提升系统容量</w:t>
      </w:r>
      <w:r w:rsidRPr="00EF7940">
        <w:t>：说明在全频率复用模式下，引入波束分簇（Beam Clustering）并进行簇间联合优化，</w:t>
      </w:r>
      <w:r w:rsidRPr="00EF7940">
        <w:lastRenderedPageBreak/>
        <w:t xml:space="preserve">能显著减轻共信道干扰（Co-channel Interference, CCI）。 </w:t>
      </w:r>
      <w:r w:rsidRPr="00EF7940">
        <w:rPr>
          <w:b/>
          <w:bCs/>
        </w:rPr>
        <w:t>提供同频干扰避免机制的物理依据</w:t>
      </w:r>
      <w:r w:rsidRPr="00EF7940">
        <w:t>：文献[32]证明了</w:t>
      </w:r>
      <w:r w:rsidRPr="00EF7940">
        <w:rPr>
          <w:b/>
          <w:bCs/>
        </w:rPr>
        <w:t>当工作波束之间的同频复用距离大于波束半径的 4 倍时，波束间的同频干扰可以忽略不计</w:t>
      </w:r>
      <w:r w:rsidRPr="00EF7940">
        <w:t xml:space="preserve">。第一篇论文正是据此设计了基于干扰避免准则的迭代算法，成功压缩了深度强化学习（DRL）算法的动作空间。 </w:t>
      </w:r>
    </w:p>
    <w:p w14:paraId="0B33650D" w14:textId="03F59C76" w:rsidR="00EF7940" w:rsidRPr="00EF7940" w:rsidRDefault="00EF7940" w:rsidP="00EF7940">
      <w:pPr>
        <w:rPr>
          <w:rFonts w:hint="eastAsia"/>
        </w:rPr>
      </w:pPr>
    </w:p>
    <w:p w14:paraId="7F354F96" w14:textId="49FBBE29" w:rsidR="00EF7940" w:rsidRPr="00EF7940" w:rsidRDefault="00EF7940" w:rsidP="00EF7940">
      <w:pPr>
        <w:rPr>
          <w:rFonts w:hint="eastAsia"/>
        </w:rPr>
      </w:pPr>
    </w:p>
    <w:p w14:paraId="15AEC7A7" w14:textId="3B066793" w:rsidR="005027EE" w:rsidRPr="005027EE" w:rsidRDefault="005027EE" w:rsidP="005027EE">
      <w:pPr>
        <w:rPr>
          <w:rFonts w:hint="eastAsia"/>
        </w:rPr>
      </w:pPr>
    </w:p>
    <w:p w14:paraId="2C1C85B9" w14:textId="17C99799" w:rsidR="005027EE" w:rsidRPr="005027EE" w:rsidRDefault="005027EE" w:rsidP="005027EE">
      <w:pPr>
        <w:rPr>
          <w:rFonts w:hint="eastAsia"/>
        </w:rPr>
      </w:pPr>
    </w:p>
    <w:p w14:paraId="636BB67F" w14:textId="76DD6BA5" w:rsidR="000A16C5" w:rsidRPr="000A16C5" w:rsidRDefault="000A16C5" w:rsidP="000A16C5">
      <w:pPr>
        <w:rPr>
          <w:rFonts w:hint="eastAsia"/>
        </w:rPr>
      </w:pPr>
    </w:p>
    <w:p w14:paraId="4D2F17D6" w14:textId="78E59E85" w:rsidR="000A16C5" w:rsidRPr="000A16C5" w:rsidRDefault="000A16C5" w:rsidP="000A16C5">
      <w:pPr>
        <w:rPr>
          <w:rFonts w:hint="eastAsia"/>
        </w:rPr>
      </w:pPr>
    </w:p>
    <w:p w14:paraId="2AEB6EC2" w14:textId="3A602E27" w:rsidR="000A16C5" w:rsidRPr="000A16C5" w:rsidRDefault="000A16C5" w:rsidP="000A16C5">
      <w:pPr>
        <w:rPr>
          <w:rFonts w:hint="eastAsia"/>
        </w:rPr>
      </w:pPr>
    </w:p>
    <w:p w14:paraId="6B83E302" w14:textId="5B0E7185" w:rsidR="00806847" w:rsidRPr="00806847" w:rsidRDefault="00806847" w:rsidP="00806847">
      <w:pPr>
        <w:rPr>
          <w:rFonts w:hint="eastAsia"/>
        </w:rPr>
      </w:pPr>
    </w:p>
    <w:p w14:paraId="42AB8060" w14:textId="2C7AE047" w:rsidR="00806847" w:rsidRPr="00806847" w:rsidRDefault="00806847" w:rsidP="00806847">
      <w:pPr>
        <w:rPr>
          <w:rFonts w:hint="eastAsia"/>
        </w:rPr>
      </w:pPr>
    </w:p>
    <w:p w14:paraId="352EE336" w14:textId="1F782A5A" w:rsidR="00806847" w:rsidRPr="00806847" w:rsidRDefault="00806847" w:rsidP="00806847">
      <w:pPr>
        <w:rPr>
          <w:rFonts w:hint="eastAsia"/>
        </w:rPr>
      </w:pPr>
    </w:p>
    <w:p w14:paraId="304C92C6" w14:textId="0B2B2B0F" w:rsidR="00806847" w:rsidRPr="00806847" w:rsidRDefault="00806847" w:rsidP="00806847">
      <w:pPr>
        <w:rPr>
          <w:rFonts w:hint="eastAsia"/>
        </w:rPr>
      </w:pPr>
    </w:p>
    <w:p w14:paraId="2150E38F" w14:textId="36B08053" w:rsidR="00806847" w:rsidRPr="00806847" w:rsidRDefault="00806847" w:rsidP="00806847">
      <w:pPr>
        <w:rPr>
          <w:rFonts w:hint="eastAsia"/>
        </w:rPr>
      </w:pPr>
    </w:p>
    <w:p w14:paraId="1DA804C5" w14:textId="149D715A" w:rsidR="00806847" w:rsidRPr="00806847" w:rsidRDefault="00806847" w:rsidP="00806847">
      <w:pPr>
        <w:rPr>
          <w:rFonts w:hint="eastAsia"/>
        </w:rPr>
      </w:pPr>
    </w:p>
    <w:p w14:paraId="277286E2" w14:textId="29991AA4" w:rsidR="00806847" w:rsidRPr="00806847" w:rsidRDefault="00806847" w:rsidP="00806847">
      <w:pPr>
        <w:rPr>
          <w:rFonts w:hint="eastAsia"/>
        </w:rPr>
      </w:pPr>
    </w:p>
    <w:p w14:paraId="0CDBA63B" w14:textId="5EFFFA79" w:rsidR="00CE29A6" w:rsidRPr="00CE29A6" w:rsidRDefault="00CE29A6" w:rsidP="00CE29A6">
      <w:pPr>
        <w:rPr>
          <w:rFonts w:hint="eastAsia"/>
        </w:rPr>
      </w:pPr>
    </w:p>
    <w:p w14:paraId="05673BEA" w14:textId="7062F86F" w:rsidR="00CE29A6" w:rsidRPr="00CE29A6" w:rsidRDefault="00CE29A6" w:rsidP="00CE29A6">
      <w:pPr>
        <w:rPr>
          <w:rFonts w:hint="eastAsia"/>
        </w:rPr>
      </w:pPr>
    </w:p>
    <w:p w14:paraId="63DCBC69" w14:textId="20F0963A" w:rsidR="00CE29A6" w:rsidRPr="00CE29A6" w:rsidRDefault="00CE29A6" w:rsidP="00CE29A6">
      <w:pPr>
        <w:rPr>
          <w:rFonts w:hint="eastAsia"/>
        </w:rPr>
      </w:pPr>
    </w:p>
    <w:p w14:paraId="71597B96" w14:textId="099ECA43" w:rsidR="00CE29A6" w:rsidRPr="00CE29A6" w:rsidRDefault="00CE29A6" w:rsidP="00CE29A6">
      <w:pPr>
        <w:rPr>
          <w:rFonts w:hint="eastAsia"/>
        </w:rPr>
      </w:pPr>
    </w:p>
    <w:p w14:paraId="1402618B" w14:textId="765CAF1D" w:rsidR="00AA4E19" w:rsidRPr="00AA4E19" w:rsidRDefault="00AA4E19" w:rsidP="00AA4E19">
      <w:pPr>
        <w:rPr>
          <w:rFonts w:hint="eastAsia"/>
        </w:rPr>
      </w:pPr>
    </w:p>
    <w:p w14:paraId="39AE86DF" w14:textId="10D9FA68" w:rsidR="00AA4E19" w:rsidRPr="00AA4E19" w:rsidRDefault="00AA4E19" w:rsidP="00AA4E19">
      <w:pPr>
        <w:rPr>
          <w:rFonts w:hint="eastAsia"/>
        </w:rPr>
      </w:pPr>
    </w:p>
    <w:p w14:paraId="5A2ED100" w14:textId="1F740391" w:rsidR="00AA4E19" w:rsidRPr="00AA4E19" w:rsidRDefault="00AA4E19" w:rsidP="00AA4E19">
      <w:pPr>
        <w:rPr>
          <w:rFonts w:hint="eastAsia"/>
        </w:rPr>
      </w:pPr>
    </w:p>
    <w:p w14:paraId="6B4AAE11" w14:textId="1CE1397C" w:rsidR="00AA4E19" w:rsidRPr="00AA4E19" w:rsidRDefault="00AA4E19" w:rsidP="00AA4E19">
      <w:pPr>
        <w:rPr>
          <w:rFonts w:hint="eastAsia"/>
        </w:rPr>
      </w:pPr>
    </w:p>
    <w:p w14:paraId="1844A823" w14:textId="77777777" w:rsidR="00AA4E19" w:rsidRPr="00AA4E19" w:rsidRDefault="00AA4E19" w:rsidP="00AA4E19">
      <w:pPr>
        <w:rPr>
          <w:rFonts w:hint="eastAsia"/>
        </w:rPr>
      </w:pPr>
    </w:p>
    <w:p w14:paraId="751CC275" w14:textId="77777777" w:rsidR="00E15A31" w:rsidRPr="00AA4E19" w:rsidRDefault="00E15A31"/>
    <w:sectPr w:rsidR="00E15A31" w:rsidRPr="00AA4E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6AC"/>
    <w:multiLevelType w:val="multilevel"/>
    <w:tmpl w:val="1CF2F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639AD"/>
    <w:multiLevelType w:val="multilevel"/>
    <w:tmpl w:val="9F66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B5289"/>
    <w:multiLevelType w:val="multilevel"/>
    <w:tmpl w:val="51F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726B8"/>
    <w:multiLevelType w:val="multilevel"/>
    <w:tmpl w:val="416C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17862"/>
    <w:multiLevelType w:val="multilevel"/>
    <w:tmpl w:val="492C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43054"/>
    <w:multiLevelType w:val="multilevel"/>
    <w:tmpl w:val="8382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66220"/>
    <w:multiLevelType w:val="multilevel"/>
    <w:tmpl w:val="609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4051DB"/>
    <w:multiLevelType w:val="multilevel"/>
    <w:tmpl w:val="F806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631703">
    <w:abstractNumId w:val="7"/>
  </w:num>
  <w:num w:numId="2" w16cid:durableId="1698967050">
    <w:abstractNumId w:val="6"/>
  </w:num>
  <w:num w:numId="3" w16cid:durableId="1778599827">
    <w:abstractNumId w:val="1"/>
  </w:num>
  <w:num w:numId="4" w16cid:durableId="992562716">
    <w:abstractNumId w:val="4"/>
  </w:num>
  <w:num w:numId="5" w16cid:durableId="55855627">
    <w:abstractNumId w:val="0"/>
  </w:num>
  <w:num w:numId="6" w16cid:durableId="637147270">
    <w:abstractNumId w:val="2"/>
  </w:num>
  <w:num w:numId="7" w16cid:durableId="1194464057">
    <w:abstractNumId w:val="3"/>
  </w:num>
  <w:num w:numId="8" w16cid:durableId="19508120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E19"/>
    <w:rsid w:val="000A16C5"/>
    <w:rsid w:val="005027EE"/>
    <w:rsid w:val="00806847"/>
    <w:rsid w:val="00AA4E19"/>
    <w:rsid w:val="00C20915"/>
    <w:rsid w:val="00C6252C"/>
    <w:rsid w:val="00CE29A6"/>
    <w:rsid w:val="00E15A31"/>
    <w:rsid w:val="00EF7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E3D4B"/>
  <w15:chartTrackingRefBased/>
  <w15:docId w15:val="{6A5432CD-66FF-4B2A-AF03-269C469ED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4E1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4E1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4E1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4E1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4E1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A4E1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4E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4E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4E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4E1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A4E1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4E1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4E19"/>
    <w:rPr>
      <w:rFonts w:cstheme="majorBidi"/>
      <w:color w:val="0F4761" w:themeColor="accent1" w:themeShade="BF"/>
      <w:sz w:val="28"/>
      <w:szCs w:val="28"/>
    </w:rPr>
  </w:style>
  <w:style w:type="character" w:customStyle="1" w:styleId="50">
    <w:name w:val="标题 5 字符"/>
    <w:basedOn w:val="a0"/>
    <w:link w:val="5"/>
    <w:uiPriority w:val="9"/>
    <w:semiHidden/>
    <w:rsid w:val="00AA4E19"/>
    <w:rPr>
      <w:rFonts w:cstheme="majorBidi"/>
      <w:color w:val="0F4761" w:themeColor="accent1" w:themeShade="BF"/>
      <w:sz w:val="24"/>
    </w:rPr>
  </w:style>
  <w:style w:type="character" w:customStyle="1" w:styleId="60">
    <w:name w:val="标题 6 字符"/>
    <w:basedOn w:val="a0"/>
    <w:link w:val="6"/>
    <w:uiPriority w:val="9"/>
    <w:semiHidden/>
    <w:rsid w:val="00AA4E19"/>
    <w:rPr>
      <w:rFonts w:cstheme="majorBidi"/>
      <w:b/>
      <w:bCs/>
      <w:color w:val="0F4761" w:themeColor="accent1" w:themeShade="BF"/>
    </w:rPr>
  </w:style>
  <w:style w:type="character" w:customStyle="1" w:styleId="70">
    <w:name w:val="标题 7 字符"/>
    <w:basedOn w:val="a0"/>
    <w:link w:val="7"/>
    <w:uiPriority w:val="9"/>
    <w:semiHidden/>
    <w:rsid w:val="00AA4E19"/>
    <w:rPr>
      <w:rFonts w:cstheme="majorBidi"/>
      <w:b/>
      <w:bCs/>
      <w:color w:val="595959" w:themeColor="text1" w:themeTint="A6"/>
    </w:rPr>
  </w:style>
  <w:style w:type="character" w:customStyle="1" w:styleId="80">
    <w:name w:val="标题 8 字符"/>
    <w:basedOn w:val="a0"/>
    <w:link w:val="8"/>
    <w:uiPriority w:val="9"/>
    <w:semiHidden/>
    <w:rsid w:val="00AA4E19"/>
    <w:rPr>
      <w:rFonts w:cstheme="majorBidi"/>
      <w:color w:val="595959" w:themeColor="text1" w:themeTint="A6"/>
    </w:rPr>
  </w:style>
  <w:style w:type="character" w:customStyle="1" w:styleId="90">
    <w:name w:val="标题 9 字符"/>
    <w:basedOn w:val="a0"/>
    <w:link w:val="9"/>
    <w:uiPriority w:val="9"/>
    <w:semiHidden/>
    <w:rsid w:val="00AA4E19"/>
    <w:rPr>
      <w:rFonts w:eastAsiaTheme="majorEastAsia" w:cstheme="majorBidi"/>
      <w:color w:val="595959" w:themeColor="text1" w:themeTint="A6"/>
    </w:rPr>
  </w:style>
  <w:style w:type="paragraph" w:styleId="a3">
    <w:name w:val="Title"/>
    <w:basedOn w:val="a"/>
    <w:next w:val="a"/>
    <w:link w:val="a4"/>
    <w:uiPriority w:val="10"/>
    <w:qFormat/>
    <w:rsid w:val="00AA4E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4E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4E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4E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4E19"/>
    <w:pPr>
      <w:spacing w:before="160"/>
      <w:jc w:val="center"/>
    </w:pPr>
    <w:rPr>
      <w:i/>
      <w:iCs/>
      <w:color w:val="404040" w:themeColor="text1" w:themeTint="BF"/>
    </w:rPr>
  </w:style>
  <w:style w:type="character" w:customStyle="1" w:styleId="a8">
    <w:name w:val="引用 字符"/>
    <w:basedOn w:val="a0"/>
    <w:link w:val="a7"/>
    <w:uiPriority w:val="29"/>
    <w:rsid w:val="00AA4E19"/>
    <w:rPr>
      <w:i/>
      <w:iCs/>
      <w:color w:val="404040" w:themeColor="text1" w:themeTint="BF"/>
    </w:rPr>
  </w:style>
  <w:style w:type="paragraph" w:styleId="a9">
    <w:name w:val="List Paragraph"/>
    <w:basedOn w:val="a"/>
    <w:uiPriority w:val="34"/>
    <w:qFormat/>
    <w:rsid w:val="00AA4E19"/>
    <w:pPr>
      <w:ind w:left="720"/>
      <w:contextualSpacing/>
    </w:pPr>
  </w:style>
  <w:style w:type="character" w:styleId="aa">
    <w:name w:val="Intense Emphasis"/>
    <w:basedOn w:val="a0"/>
    <w:uiPriority w:val="21"/>
    <w:qFormat/>
    <w:rsid w:val="00AA4E19"/>
    <w:rPr>
      <w:i/>
      <w:iCs/>
      <w:color w:val="0F4761" w:themeColor="accent1" w:themeShade="BF"/>
    </w:rPr>
  </w:style>
  <w:style w:type="paragraph" w:styleId="ab">
    <w:name w:val="Intense Quote"/>
    <w:basedOn w:val="a"/>
    <w:next w:val="a"/>
    <w:link w:val="ac"/>
    <w:uiPriority w:val="30"/>
    <w:qFormat/>
    <w:rsid w:val="00AA4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4E19"/>
    <w:rPr>
      <w:i/>
      <w:iCs/>
      <w:color w:val="0F4761" w:themeColor="accent1" w:themeShade="BF"/>
    </w:rPr>
  </w:style>
  <w:style w:type="character" w:styleId="ad">
    <w:name w:val="Intense Reference"/>
    <w:basedOn w:val="a0"/>
    <w:uiPriority w:val="32"/>
    <w:qFormat/>
    <w:rsid w:val="00AA4E19"/>
    <w:rPr>
      <w:b/>
      <w:bCs/>
      <w:smallCaps/>
      <w:color w:val="0F4761" w:themeColor="accent1" w:themeShade="BF"/>
      <w:spacing w:val="5"/>
    </w:rPr>
  </w:style>
  <w:style w:type="paragraph" w:styleId="ae">
    <w:name w:val="Normal (Web)"/>
    <w:basedOn w:val="a"/>
    <w:uiPriority w:val="99"/>
    <w:semiHidden/>
    <w:unhideWhenUsed/>
    <w:rsid w:val="00AA4E1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1246</Words>
  <Characters>7106</Characters>
  <Application>Microsoft Office Word</Application>
  <DocSecurity>0</DocSecurity>
  <Lines>59</Lines>
  <Paragraphs>16</Paragraphs>
  <ScaleCrop>false</ScaleCrop>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Deng</dc:creator>
  <cp:keywords/>
  <dc:description/>
  <cp:lastModifiedBy>Carlos Deng</cp:lastModifiedBy>
  <cp:revision>1</cp:revision>
  <dcterms:created xsi:type="dcterms:W3CDTF">2026-08-14T02:09:00Z</dcterms:created>
  <dcterms:modified xsi:type="dcterms:W3CDTF">2026-08-14T03:10:00Z</dcterms:modified>
</cp:coreProperties>
</file>