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sz w:val="28"/>
        </w:rPr>
        <w:t>Diseño Conceptual (Fase 2)</w:t>
      </w:r>
    </w:p>
    <w:p>
      <w:pPr>
        <w:spacing w:after="240"/>
      </w:pPr>
      <w:r>
        <w:rPr>
          <w:rFonts w:ascii="Arial" w:hAnsi="Arial"/>
          <w:b w:val="0"/>
          <w:i/>
          <w:color w:val="404040"/>
          <w:sz w:val="22"/>
        </w:rPr>
        <w:t>Criterios de organización, esquema de procesamiento y lineamientos de presentación para la reducción de la carga cognitiva en un sistema de presentación de información multimodal</w:t>
      </w:r>
    </w:p>
    <w:p>
      <w:pPr>
        <w:jc w:val="both"/>
      </w:pPr>
      <w:r>
        <w:rPr>
          <w:rFonts w:ascii="Arial" w:hAnsi="Arial"/>
          <w:b w:val="0"/>
          <w:i/>
          <w:color w:val="606060"/>
          <w:sz w:val="18"/>
        </w:rPr>
        <w:t>Nota: este documento constituye un borrador de trabajo de la Fase 2 (Diseño Conceptual). Su propósito es fijar las decisiones de diseño y su fundamento teórico antes de la implementación; la redacción final y la revisión de estilo quedan pendientes. Todas las decisiones aquí consignadas son a priori y podrán ajustarse a partir de los hallazgos de la fase de desarrollo.</w:t>
      </w:r>
    </w:p>
    <w:p>
      <w:pPr>
        <w:spacing w:before="280" w:after="120"/>
      </w:pPr>
      <w:r>
        <w:rPr>
          <w:rFonts w:ascii="Arial" w:hAnsi="Arial"/>
          <w:b/>
          <w:i w:val="0"/>
          <w:sz w:val="22"/>
        </w:rPr>
        <w:t>Introducción al Diseño Conceptual</w:t>
      </w:r>
    </w:p>
    <w:p>
      <w:pPr>
        <w:jc w:val="both"/>
      </w:pPr>
      <w:r>
        <w:rPr>
          <w:rFonts w:ascii="Arial" w:hAnsi="Arial"/>
          <w:b w:val="0"/>
          <w:i w:val="0"/>
          <w:sz w:val="22"/>
        </w:rPr>
        <w:t>Una vez identificado, en la Fase 1, el ecosistema tecnológico que hace viable el procesamiento de información multimodal —modelos fundacionales nativamente multimodales, orquestación con tipado estricto y el paradigma de Generative UI—, la presente fase traslada el foco desde el "qué es posible" hacia el "cómo debe organizarse y presentarse la información para que el usuario efectivamente comprenda". El objetivo de esta fase es establecer los criterios conceptuales, técnicos y visuales que permitan transformar información heterogénea en presentaciones estructuradas, con el fin explícito de reducir la carga cognitiva y facilitar la comprensión.</w:t>
      </w:r>
    </w:p>
    <w:p>
      <w:pPr>
        <w:jc w:val="both"/>
      </w:pPr>
      <w:r>
        <w:rPr>
          <w:rFonts w:ascii="Arial" w:hAnsi="Arial"/>
          <w:b w:val="0"/>
          <w:i w:val="0"/>
          <w:sz w:val="22"/>
        </w:rPr>
        <w:t>El diseño se fundamenta en dos marcos teóricos consolidados con más de tres décadas de validación empírica: la Teoría de la Carga Cognitiva (Cognitive Load Theory, CLT) de Sweller [1], que establece que la memoria de trabajo humana posee una capacidad severamente limitada y distingue entre la carga intrínseca (la complejidad inherente del material), la carga extrínseca (la impuesta por una presentación deficiente) y la construcción de esquemas en la memoria de largo plazo [2]; y la Teoría Cognitiva del Aprendizaje Multimedia (Cognitive Theory of Multimedia Learning, CTML) de Mayer [3], que deriva de la anterior un conjunto de principios operativos para el diseño de contenido que combina texto, imagen y sonido. De estos marcos se desprende el objetivo de diseño primario y explícito de todo el sistema: minimizar la carga extrínseca, entendida como toda demanda mental que no contribuye a la comprensión y que, por tanto, desperdicia recursos cognitivos finitos.</w:t>
      </w:r>
    </w:p>
    <w:p>
      <w:pPr>
        <w:jc w:val="both"/>
      </w:pPr>
      <w:r>
        <w:rPr>
          <w:rFonts w:ascii="Arial" w:hAnsi="Arial"/>
          <w:b w:val="0"/>
          <w:i w:val="0"/>
          <w:sz w:val="22"/>
        </w:rPr>
        <w:t>A este fundamento clásico se incorpora evidencia reciente (2023–2026) sobre la interacción entre inteligencia artificial generativa y carga cognitiva. Dicha evidencia, de consenso aún preliminar, advierte que los beneficios de la reorganización automática de información no son universales sino condicionales: dependen del andamiaje, del conocimiento previo del usuario y del diseño de la tarea [4]. En particular, se ha documentado que el consumo puramente pasivo de contenido generado por IA puede resultar inferior, en comprensión y retención, frente a modos de interacción que exigen procesamiento activo por parte del usuario [5]. Estos hallazgos permean transversalmente las tres actividades de esta fase.</w:t>
      </w:r>
    </w:p>
    <w:p>
      <w:pPr>
        <w:jc w:val="both"/>
      </w:pPr>
      <w:r>
        <w:rPr>
          <w:rFonts w:ascii="Arial" w:hAnsi="Arial"/>
          <w:b w:val="0"/>
          <w:i w:val="0"/>
          <w:sz w:val="22"/>
        </w:rPr>
        <w:t>El diseño conceptual se articula, además, en torno a un principio rector transversal que atraviesa la mayoría de las decisiones técnicas y que conviene enunciar desde el inicio: la separación entre decisiones deterministas y decisiones interpretativas. Toda decisión que pueda resolverse de forma objetiva a partir de la forma verificable de los datos se delega a reglas fijas ejecutadas en código convencional, garantizando así consistencia total entre ejecuciones; únicamente las decisiones genuinamente interpretativas —la redacción, el tono, la priorización semántica del contenido— se delegan al modelo de lenguaje. Este principio responde directamente a una fuente de carga extrínseca frecuentemente ignorada: la inconsistencia impredecible entre usos sucesivos de un sistema generativo.</w:t>
      </w:r>
    </w:p>
    <w:p>
      <w:pPr>
        <w:spacing w:before="280" w:after="120"/>
      </w:pPr>
      <w:r>
        <w:rPr>
          <w:rFonts w:ascii="Arial" w:hAnsi="Arial"/>
          <w:b/>
          <w:i w:val="0"/>
          <w:sz w:val="22"/>
        </w:rPr>
        <w:t>A1. Criterios conceptuales y técnicos para la organización de la información</w:t>
      </w:r>
    </w:p>
    <w:p>
      <w:pPr>
        <w:jc w:val="both"/>
      </w:pPr>
      <w:r>
        <w:rPr>
          <w:rFonts w:ascii="Arial" w:hAnsi="Arial"/>
          <w:b w:val="0"/>
          <w:i w:val="0"/>
          <w:sz w:val="22"/>
        </w:rPr>
        <w:t>Esta actividad define los criterios rectores que gobiernan cómo el sistema reorganiza la información de entrada antes de presentarla. Cada criterio se justifica por su contribución a la reducción de la carga extrínseca y se formula, siempre que es posible, como una regla verificable antes que como un juicio subjetivo.</w:t>
      </w:r>
    </w:p>
    <w:p>
      <w:pPr>
        <w:spacing w:before="200" w:after="80"/>
      </w:pPr>
      <w:r>
        <w:rPr>
          <w:rFonts w:ascii="Arial" w:hAnsi="Arial"/>
          <w:b/>
          <w:i/>
          <w:sz w:val="22"/>
        </w:rPr>
        <w:t>Principio rector: determinismo frente a interpretación</w:t>
      </w:r>
    </w:p>
    <w:p>
      <w:pPr>
        <w:jc w:val="both"/>
      </w:pPr>
      <w:r>
        <w:rPr>
          <w:rFonts w:ascii="Arial" w:hAnsi="Arial"/>
          <w:b w:val="0"/>
          <w:i w:val="0"/>
          <w:sz w:val="22"/>
        </w:rPr>
        <w:t>El sistema separa explícitamente dos clases de decisiones. La primera comprende aquellas objetivamente determinables a partir de la estructura de los datos —por ejemplo, que una secuencia de elementos con fechas explícitas constituye una línea de tiempo, o que un conjunto de valores con columnas comparables constituye una tabla—; estas decisiones se resuelven mediante reglas fijas en código convencional, nunca delegadas al modelo de lenguaje, de modo que su resultado sea idéntico y reproducible en cada ejecución. La segunda clase comprende las decisiones genuinamente interpretativas —la redacción del contenido, el énfasis, el tono—, en las que la variación entre ejecuciones no constituye un defecto sino una expresión de estilo, y que sí se delegan al modelo. La justificación de esta separación es cognitiva: la inconsistencia estructural entre usos sucesivos del sistema impide que el usuario construya un modelo mental estable de la herramienta, lo que constituye una fuente de carga extrínseca no atribuible al contenido, sino al comportamiento impredecible del sistema.</w:t>
      </w:r>
    </w:p>
    <w:p>
      <w:pPr>
        <w:spacing w:before="200" w:after="80"/>
      </w:pPr>
      <w:r>
        <w:rPr>
          <w:rFonts w:ascii="Arial" w:hAnsi="Arial"/>
          <w:b/>
          <w:i/>
          <w:sz w:val="22"/>
        </w:rPr>
        <w:t>Distribución sensorial de la información: el principio de modalidad y su condición de frontera</w:t>
      </w:r>
    </w:p>
    <w:p>
      <w:pPr>
        <w:jc w:val="both"/>
      </w:pPr>
      <w:r>
        <w:rPr>
          <w:rFonts w:ascii="Arial" w:hAnsi="Arial"/>
          <w:b w:val="0"/>
          <w:i w:val="0"/>
          <w:sz w:val="22"/>
        </w:rPr>
        <w:t>De acuerdo con el principio de canal dual de la CTML, la información visual y la auditiva se procesan por canales separados y de capacidad limitada [3]. El principio de modalidad de Mayer establece que la comprensión mejora cuando una representación visual se acompaña de narración hablada en lugar de texto escrito, pues este último compite con la imagen por el mismo canal visual; el meta-análisis de Ginns reporta para este efecto un tamaño considerable (d = 0,72) [6]. No obstante, se adopta este principio reconociendo una condición de frontera relevante para el presente sistema: dicho efecto es marcadamente más fuerte cuando el ritmo de presentación lo controla el sistema (d ≈ 0,93) que cuando lo controla el usuario (donde puede reducirse o incluso invertirse), pues un usuario con control del ritmo dispone ya de un mecanismo natural de autorregulación de su carga cognitiva.</w:t>
      </w:r>
    </w:p>
    <w:p>
      <w:pPr>
        <w:jc w:val="both"/>
      </w:pPr>
      <w:r>
        <w:rPr>
          <w:rFonts w:ascii="Arial" w:hAnsi="Arial"/>
          <w:b w:val="0"/>
          <w:i w:val="0"/>
          <w:sz w:val="22"/>
        </w:rPr>
        <w:t>En consecuencia, el criterio adoptado distingue dos momentos. Durante la generación inicial del contenido —cuando es el sistema quien determina la estructura y secuencia—, se aplica el principio de modalidad con plena fuerza: las explicaciones se destinan preferentemente al canal auditivo y el canal visual se reserva para anclajes, conceptos clave y representaciones gráficas. Una vez generado el contenido, el control del ritmo se transfiere al usuario (pausar, releer, saltar, retroceder), momento en el que la exigencia del principio se relaja por innecesaria. Los principios de la CTML operan, en conjunto, como el marco argumentativo que justifica cada decisión de presentación, y no como recomendaciones aisladas.</w:t>
      </w:r>
    </w:p>
    <w:p>
      <w:pPr>
        <w:spacing w:before="200" w:after="80"/>
      </w:pPr>
      <w:r>
        <w:rPr>
          <w:rFonts w:ascii="Arial" w:hAnsi="Arial"/>
          <w:b/>
          <w:i/>
          <w:sz w:val="22"/>
        </w:rPr>
        <w:t>Criterio de no redundancia y sus excepciones verificables</w:t>
      </w:r>
    </w:p>
    <w:p>
      <w:pPr>
        <w:jc w:val="both"/>
      </w:pPr>
      <w:r>
        <w:rPr>
          <w:rFonts w:ascii="Arial" w:hAnsi="Arial"/>
          <w:b w:val="0"/>
          <w:i w:val="0"/>
          <w:sz w:val="22"/>
        </w:rPr>
        <w:t>El principio de redundancia advierte que presentar simultáneamente narración hablada y texto escrito idéntico degrada la comprensión, pues obliga a la memoria de trabajo a reconciliar dos fuentes en lugar de asimilar una [3]. Por ello, la regla general del sistema prohíbe duplicar en texto en pantalla aquello que se narra en audio. Sin embargo, la literatura reconoce excepciones legítimas en las que un anclaje visual estático resulta beneficioso. Coherente con el principio rector, estas excepciones se codifican como reglas deterministas sobre propiedades verificables del texto, y no como un juicio libre del modelo: se permite la coexistencia de texto y audio únicamente ante (i) notación matemática, detectable por patrones sintácticos objetivos como símbolos, delimitadores o expresiones formales; y (ii) términos técnicos de baja frecuencia, operacionalizados no como una noción subjetiva de "rareza" sino como una propiedad medible —siglas, o términos que aparecen una sola vez en el documento sin contexto explicativo adicional—. El caso de los nombres propios poco comunes se excluye deliberadamente de esta regla: dada la naturaleza heterogénea y desordenada de los documentos reales, un detector ambicioso para este caso resultaría poco fiable, por lo que se asume como una limitación conocida y de bajo impacto en lugar de forzar una regla imprecisa.</w:t>
      </w:r>
    </w:p>
    <w:p>
      <w:pPr>
        <w:spacing w:before="200" w:after="80"/>
      </w:pPr>
      <w:r>
        <w:rPr>
          <w:rFonts w:ascii="Arial" w:hAnsi="Arial"/>
          <w:b/>
          <w:i/>
          <w:sz w:val="22"/>
        </w:rPr>
        <w:t>Preservación de la correspondencia estructural en las representaciones visuales (isomorfismo)</w:t>
      </w:r>
    </w:p>
    <w:p>
      <w:pPr>
        <w:jc w:val="both"/>
      </w:pPr>
      <w:r>
        <w:rPr>
          <w:rFonts w:ascii="Arial" w:hAnsi="Arial"/>
          <w:b w:val="0"/>
          <w:i w:val="0"/>
          <w:sz w:val="22"/>
        </w:rPr>
        <w:t>El Modelo Integrado de Comprensión de Textos e Imágenes de Schnotz distingue entre descripciones —símbolos arbitrarios, como el texto— y depicciones —representaciones análogas, como los diagramas o gráficos— [7]. Las depicciones son cognitivamente eficientes precisamente porque su estructura visual se corresponde con la organización interna del contenido; pero de ahí se sigue una advertencia crítica: una representación visual cuya forma no corresponda a la lógica real de los datos induce interferencia estructural, esto es, hace que el usuario asimile una relación falsa. Una visualización mal elegida puede, por tanto, ser más perjudicial que la ausencia de visualización, pues enseña activamente una estructura incorrecta.</w:t>
      </w:r>
    </w:p>
    <w:p>
      <w:pPr>
        <w:jc w:val="both"/>
      </w:pPr>
      <w:r>
        <w:rPr>
          <w:rFonts w:ascii="Arial" w:hAnsi="Arial"/>
          <w:b w:val="0"/>
          <w:i w:val="0"/>
          <w:sz w:val="22"/>
        </w:rPr>
        <w:t>El sistema aborda este riesgo en dos frentes. En primer lugar, mediante restricción previa: reglas deterministas filtran, según la forma real de los datos, qué tipos de representación son estructuralmente válidos, de modo que el modelo únicamente selecciona dentro del conjunto ya validado y no de forma libre. En segundo lugar, mediante verificación posterior del contenido generado, organizada en dos niveles de coste creciente: un primer nivel de verificación estructural, ejecutado en código sin intervención del modelo, que comprueba propiedades objetivas —orden cronológico de fechas, ausencia de duplicados o contradicciones, respeto de los límites de cantidad de elementos—; y un segundo nivel de verificación de coherencia semántica, mediante una llamada adicional al modelo, que contrasta que el contenido generado refleje efectivamente el documento fuente y no solo que posea una forma sintácticamente correcta. Ambos niveles se incorporan desde el alcance inicial, decisión justificada por el sesgo documentado de los modelos de lenguaje a producir salidas de apariencia correcta y completa aun cuando no lo sean [4].</w:t>
      </w:r>
    </w:p>
    <w:p>
      <w:pPr>
        <w:spacing w:before="200" w:after="80"/>
      </w:pPr>
      <w:r>
        <w:rPr>
          <w:rFonts w:ascii="Arial" w:hAnsi="Arial"/>
          <w:b/>
          <w:i/>
          <w:sz w:val="22"/>
        </w:rPr>
        <w:t>Trazabilidad y atribución de fuentes</w:t>
      </w:r>
    </w:p>
    <w:p>
      <w:pPr>
        <w:jc w:val="both"/>
      </w:pPr>
      <w:r>
        <w:rPr>
          <w:rFonts w:ascii="Arial" w:hAnsi="Arial"/>
          <w:b w:val="0"/>
          <w:i w:val="0"/>
          <w:sz w:val="22"/>
        </w:rPr>
        <w:t>La literatura sobre interacción humano-IA advierte que, cuando la verificación de una afirmación resulta costosa, los usuarios tienden a aceptarla sin comprobarla, fenómeno agravado por el sesgo de automatización y por la fluidez formal de las salidas generativas [8]. Dado que la propuesta de valor del sistema reside en ser más abierto, verificable y trazable que las alternativas existentes, cada unidad de información presentada conserva una referencia explícita a su origen en el documento fuente. Se adopta como criterio la atribución interactiva directa: al seleccionar una afirmación de la presentación, el sistema despliega el documento original con el fragmento correspondiente resaltado, minimizando así el coste de verificación. Este mecanismo, que constituye el vínculo más fuerte con la propuesta de valor del trabajo, se extiende también a las respuestas del componente conversacional descrito en A3.</w:t>
      </w:r>
    </w:p>
    <w:p>
      <w:pPr>
        <w:spacing w:before="280" w:after="120"/>
      </w:pPr>
      <w:r>
        <w:rPr>
          <w:rFonts w:ascii="Arial" w:hAnsi="Arial"/>
          <w:b/>
          <w:i w:val="0"/>
          <w:sz w:val="22"/>
        </w:rPr>
        <w:t>A2. Esquema de segmentación y flujo de procesamiento de la información</w:t>
      </w:r>
    </w:p>
    <w:p>
      <w:pPr>
        <w:jc w:val="both"/>
      </w:pPr>
      <w:r>
        <w:rPr>
          <w:rFonts w:ascii="Arial" w:hAnsi="Arial"/>
          <w:b w:val="0"/>
          <w:i w:val="0"/>
          <w:sz w:val="22"/>
        </w:rPr>
        <w:t>Esta actividad define cómo se segmenta la información extensa en unidades comprensibles y cómo fluye a través de las etapas de procesamiento hasta convertirse en una presentación estructurada. El esquema traduce los criterios de A1 en una secuencia operativa concreta.</w:t>
      </w:r>
    </w:p>
    <w:p>
      <w:pPr>
        <w:spacing w:before="200" w:after="80"/>
      </w:pPr>
      <w:r>
        <w:rPr>
          <w:rFonts w:ascii="Arial" w:hAnsi="Arial"/>
          <w:b/>
          <w:i/>
          <w:sz w:val="22"/>
        </w:rPr>
        <w:t>Segmentación: dimensionamiento de las unidades de información</w:t>
      </w:r>
    </w:p>
    <w:p>
      <w:pPr>
        <w:jc w:val="both"/>
      </w:pPr>
      <w:r>
        <w:rPr>
          <w:rFonts w:ascii="Arial" w:hAnsi="Arial"/>
          <w:b w:val="0"/>
          <w:i w:val="0"/>
          <w:sz w:val="22"/>
        </w:rPr>
        <w:t>El dimensionamiento de las unidades de información parte de los límites establecidos de la memoria de trabajo. Frente a la cifra popular de siete más o menos dos elementos propuesta por Miller [9], se adopta el criterio más conservador de Cowan, que sitúa la capacidad en torno a cuatro unidades bajo condiciones controladas [10]. No obstante, este límite no se aplica a la cantidad bruta de contenido, sino al número de tipos de estructura cognitiva distinta que coexisten en una misma vista. La justificación es que la carga proviene del cambio de "modo de lectura" mental —una tabla, una línea de tiempo y un gráfico exigen esquemas de procesamiento diferentes— y no del volumen de una estructura homogénea: una tabla extensa constituye una sola unidad cognitiva coherente. Así, el criterio limita a aproximadamente cuatro los tipos de componente distintos combinables por vista, magnitud contable de forma determinista sin intervención del modelo.</w:t>
      </w:r>
    </w:p>
    <w:p>
      <w:pPr>
        <w:jc w:val="both"/>
      </w:pPr>
      <w:r>
        <w:rPr>
          <w:rFonts w:ascii="Arial" w:hAnsi="Arial"/>
          <w:b w:val="0"/>
          <w:i w:val="0"/>
          <w:sz w:val="22"/>
        </w:rPr>
        <w:t>La revelación de la información se rige, además, por el principio de divulgación progresiva (progressive disclosure) [11]: la vista inicial presenta lo esencial y difiere el detalle a una interacción posterior de bajo coste, evitando saturar la primera aproximación del usuario al contenido.</w:t>
      </w:r>
    </w:p>
    <w:p>
      <w:pPr>
        <w:spacing w:before="200" w:after="80"/>
      </w:pPr>
      <w:r>
        <w:rPr>
          <w:rFonts w:ascii="Arial" w:hAnsi="Arial"/>
          <w:b/>
          <w:i/>
          <w:sz w:val="22"/>
        </w:rPr>
        <w:t>Priorización del contenido: la heurística núcleo–satélite</w:t>
      </w:r>
    </w:p>
    <w:p>
      <w:pPr>
        <w:jc w:val="both"/>
      </w:pPr>
      <w:r>
        <w:rPr>
          <w:rFonts w:ascii="Arial" w:hAnsi="Arial"/>
          <w:b w:val="0"/>
          <w:i w:val="0"/>
          <w:sz w:val="22"/>
        </w:rPr>
        <w:t>Para decidir qué información es esencial y cuál es de apoyo, el sistema adopta la distinción entre núcleos y satélites proveniente de la Teoría de la Estructura Retórica (Rhetorical Structure Theory, RST) [12]: los núcleos contienen la aserción esencial, mientras que los satélites aportan justificación, ejemplo o contexto no imprescindible. Se declara explícitamente, como decisión consciente de alcance, que se adopta únicamente esta distinción binaria como heurística de priorización —implementada mediante clasificación guiada del modelo de lenguaje—, sin construir el catálogo completo de relaciones retóricas formales ni un analizador RST, cuya implementación constituye un problema de investigación en procesamiento de lenguaje natural desproporcionado para un prototipo exploratorio. Esta elección resulta, además, más coherente con la naturaleza multimodal del sistema, pues la RST fue formulada para texto escrito y carece de un equivalente formal establecido para audio o imagen, mientras que la distinción núcleo–satélite generaliza adecuadamente a cualquier modalidad. Los núcleos alimentan el modo de presentación resumido y los satélites el modo detallado, según se describe en A3.</w:t>
      </w:r>
    </w:p>
    <w:p>
      <w:pPr>
        <w:spacing w:before="200" w:after="80"/>
      </w:pPr>
      <w:r>
        <w:rPr>
          <w:rFonts w:ascii="Arial" w:hAnsi="Arial"/>
          <w:b/>
          <w:i/>
          <w:sz w:val="22"/>
        </w:rPr>
        <w:t>Flujo de procesamiento por fases</w:t>
      </w:r>
    </w:p>
    <w:p>
      <w:pPr>
        <w:jc w:val="both"/>
      </w:pPr>
      <w:r>
        <w:rPr>
          <w:rFonts w:ascii="Arial" w:hAnsi="Arial"/>
          <w:b w:val="0"/>
          <w:i w:val="0"/>
          <w:sz w:val="22"/>
        </w:rPr>
        <w:t>El procesamiento se organiza en un flujo de fases que no reproduce las arquitecturas completas de la literatura de referencia ni consiste en una única invocación monolítica del modelo, sino que se deriva directamente de los criterios ya establecidos, otorgándoles un lugar concreto de ejecución. El flujo comprende tres fases:</w:t>
      </w:r>
    </w:p>
    <w:p>
      <w:pPr>
        <w:pStyle w:val="ListBullet"/>
        <w:jc w:val="both"/>
      </w:pPr>
      <w:r>
        <w:rPr>
          <w:rFonts w:ascii="Arial" w:hAnsi="Arial"/>
          <w:b w:val="0"/>
          <w:i w:val="0"/>
          <w:sz w:val="22"/>
        </w:rPr>
        <w:t>Fase de extracción y clasificación determinista, ejecutada en código sin intervención del modelo, donde se identifica la forma de los datos, se detecta la notación matemática y los términos de baja frecuencia, y se validan los tipos de representación admisibles (criterios de A1).</w:t>
      </w:r>
    </w:p>
    <w:p>
      <w:pPr>
        <w:pStyle w:val="ListBullet"/>
        <w:jc w:val="both"/>
      </w:pPr>
      <w:r>
        <w:rPr>
          <w:rFonts w:ascii="Arial" w:hAnsi="Arial"/>
          <w:b w:val="0"/>
          <w:i w:val="0"/>
          <w:sz w:val="22"/>
        </w:rPr>
        <w:t>Fase de estructuración, donde el modelo de lenguaje aplica la heurística núcleo–satélite, redacta el contenido y genera la organización semántica de la presentación.</w:t>
      </w:r>
    </w:p>
    <w:p>
      <w:pPr>
        <w:pStyle w:val="ListBullet"/>
        <w:jc w:val="both"/>
      </w:pPr>
      <w:r>
        <w:rPr>
          <w:rFonts w:ascii="Arial" w:hAnsi="Arial"/>
          <w:b w:val="0"/>
          <w:i w:val="0"/>
          <w:sz w:val="22"/>
        </w:rPr>
        <w:t>Fase de validación posterior, que aplica la verificación estructural en código y la verificación de coherencia semántica mediante el modelo, descritas en A1.</w:t>
      </w:r>
    </w:p>
    <w:p>
      <w:pPr>
        <w:jc w:val="both"/>
      </w:pPr>
      <w:r>
        <w:rPr>
          <w:rFonts w:ascii="Arial" w:hAnsi="Arial"/>
          <w:b w:val="0"/>
          <w:i w:val="0"/>
          <w:sz w:val="22"/>
        </w:rPr>
        <w:t>Esta organización derivada de las propias decisiones de diseño —y no importada de un referente externo— busca deliberadamente evitar la brecha entre lo documentado y lo efectivamente implementado. Se contempla, como línea de trabajo posterior y explícitamente fuera del alcance de entrega, un eventual ciclo de crítica y refinamiento iterativo del contenido mediante roles diferenciados del modelo; de incorporarse, dicho ciclo debería invocarse de forma condicional —solo ante señales de alerta detectadas por la verificación de bajo coste— a fin de no incurrir en un consumo computacional injustificado.</w:t>
      </w:r>
    </w:p>
    <w:p>
      <w:pPr>
        <w:spacing w:before="280" w:after="120"/>
      </w:pPr>
      <w:r>
        <w:rPr>
          <w:rFonts w:ascii="Arial" w:hAnsi="Arial"/>
          <w:b/>
          <w:i w:val="0"/>
          <w:sz w:val="22"/>
        </w:rPr>
        <w:t>A3. Lineamientos visuales y cognitivos para la representación de la información</w:t>
      </w:r>
    </w:p>
    <w:p>
      <w:pPr>
        <w:jc w:val="both"/>
      </w:pPr>
      <w:r>
        <w:rPr>
          <w:rFonts w:ascii="Arial" w:hAnsi="Arial"/>
          <w:b w:val="0"/>
          <w:i w:val="0"/>
          <w:sz w:val="22"/>
        </w:rPr>
        <w:t>Esta actividad establece los lineamientos que gobiernan la presentación final de la información transformada y la interacción del usuario con ella, así como el mecanismo previsto para su evaluación empírica.</w:t>
      </w:r>
    </w:p>
    <w:p>
      <w:pPr>
        <w:spacing w:before="200" w:after="80"/>
      </w:pPr>
      <w:r>
        <w:rPr>
          <w:rFonts w:ascii="Arial" w:hAnsi="Arial"/>
          <w:b/>
          <w:i/>
          <w:sz w:val="22"/>
        </w:rPr>
        <w:t>Estabilidad estructural de la interfaz</w:t>
      </w:r>
    </w:p>
    <w:p>
      <w:pPr>
        <w:jc w:val="both"/>
      </w:pPr>
      <w:r>
        <w:rPr>
          <w:rFonts w:ascii="Arial" w:hAnsi="Arial"/>
          <w:b w:val="0"/>
          <w:i w:val="0"/>
          <w:sz w:val="22"/>
        </w:rPr>
        <w:t>La interfaz distingue entre un núcleo estructural fijo y una zona de contenido dinámico. El núcleo fijo —la navegación entre secciones, los controles de reproducción de audio, el selector de nivel de detalle y la estructura del componente conversacional— mantiene invariable su posición y comportamiento entre generaciones, mientras que únicamente el área de contenido varía según lo generado. Este lineamiento responde a la evidencia de que la interfaz generada dinámicamente, si altera de forma impredecible la disposición de sus elementos, destruye la memoria espacial del usuario e incrementa la carga cognitiva por inconsistencia y falta de predictibilidad [13]. Preservar un armazón estable permite que el dinamismo generativo se concentre donde aporta valor —el contenido— sin sacrificar la previsibilidad de la herramienta.</w:t>
      </w:r>
    </w:p>
    <w:p>
      <w:pPr>
        <w:spacing w:before="200" w:after="80"/>
      </w:pPr>
      <w:r>
        <w:rPr>
          <w:rFonts w:ascii="Arial" w:hAnsi="Arial"/>
          <w:b/>
          <w:i/>
          <w:sz w:val="22"/>
        </w:rPr>
        <w:t>Composición espacial y jerarquía visual</w:t>
      </w:r>
    </w:p>
    <w:p>
      <w:pPr>
        <w:jc w:val="both"/>
      </w:pPr>
      <w:r>
        <w:rPr>
          <w:rFonts w:ascii="Arial" w:hAnsi="Arial"/>
          <w:b w:val="0"/>
          <w:i w:val="0"/>
          <w:sz w:val="22"/>
        </w:rPr>
        <w:t>La distribución espacial del contenido no se resuelve mediante un catálogo cerrado de plantillas fijas —lo que resultaría rígido frente al volumen variable de contenido que genera el control de detalle del usuario—, sino mediante un sistema de reglas compositivas deterministas. Estas reglas atómicas —la asignación de la posición dominante al elemento de mayor peso visual, la ubicación del contenido de apoyo según su cantidad, o la transición a una disposición vertical apilada cuando se supera el umbral de tipos combinados— se combinan según el contenido real presente, generando numerosas configuraciones posibles pero manteniendo cada una predecible y reproducible. Se aplican, asimismo, los principios de señalización, contigüidad espacial y coherencia de la CTML [3]: se resaltan las señales que revelan la organización del material, se ubican próximos los elementos relacionados y se excluye todo elemento —los llamados "detalles seductores"— que atraiga la atención sin aportar a la comprensión.</w:t>
      </w:r>
    </w:p>
    <w:p>
      <w:pPr>
        <w:spacing w:before="200" w:after="80"/>
      </w:pPr>
      <w:r>
        <w:rPr>
          <w:rFonts w:ascii="Arial" w:hAnsi="Arial"/>
          <w:b/>
          <w:i/>
          <w:sz w:val="22"/>
        </w:rPr>
        <w:t>Interacción activa sin coacción: la tensión entre andamiaje y autonomía</w:t>
      </w:r>
    </w:p>
    <w:p>
      <w:pPr>
        <w:jc w:val="both"/>
      </w:pPr>
      <w:r>
        <w:rPr>
          <w:rFonts w:ascii="Arial" w:hAnsi="Arial"/>
          <w:b w:val="0"/>
          <w:i w:val="0"/>
          <w:sz w:val="22"/>
        </w:rPr>
        <w:t>El diseño de la interacción atiende una tensión de fondo entre dos exigencias legítimas. Por un lado, la evidencia indica que el consumo puramente pasivo de contenido generado produce peores resultados de comprensión y retención que los modos de procesamiento activo [5], lo que sugeriría introducir mecanismos que fuercen la participación del usuario (Cognitive Forcing Functions) [8]. Por otro lado, forzar dicha participación mediante puntos de control obligatorios resulta contraproducente para el caso de uso central del sistema: un usuario que precisamente no domina el material —y que por ello recurre a la herramienta— no puede validar con criterio aquello que aún no comprende, ni necesariamente sabe qué desea preguntar antes de haber visto el contenido.</w:t>
      </w:r>
    </w:p>
    <w:p>
      <w:pPr>
        <w:jc w:val="both"/>
      </w:pPr>
      <w:r>
        <w:rPr>
          <w:rFonts w:ascii="Arial" w:hAnsi="Arial"/>
          <w:b w:val="0"/>
          <w:i w:val="0"/>
          <w:sz w:val="22"/>
        </w:rPr>
        <w:t>La resolución adoptada no impone ningún punto de control obligatorio en el flujo. En su lugar, la propia arquitectura de la información constituye el mecanismo de estímulo cognitivo: se presenta primero el núcleo —información completa y autosuficiente por sí misma, cuya calidad depende de la clasificación descrita en A2 y que en ningún caso se empobrece deliberadamente para inducir interacción—, y el detalle adicional, así como el componente conversacional, permanecen disponibles a un coste de interacción mínimo, visibles y accesibles pero nunca impuestos. De este modo se reduce deliberadamente la fricción de la interacción activa para que compita de forma natural con el consumo pasivo, sin bloquear a quien legítimamente elige no profundizar. Como apoyo específico al usuario no experto, al profundizar en una sección el sistema ofrece preguntas sugeridas contextuales a esa sección, en calidad de invitación y nunca de obligación.</w:t>
      </w:r>
    </w:p>
    <w:p>
      <w:pPr>
        <w:spacing w:before="200" w:after="80"/>
      </w:pPr>
      <w:r>
        <w:rPr>
          <w:rFonts w:ascii="Arial" w:hAnsi="Arial"/>
          <w:b/>
          <w:i/>
          <w:sz w:val="22"/>
        </w:rPr>
        <w:t>Componente conversacional y anclaje de las respuestas</w:t>
      </w:r>
    </w:p>
    <w:p>
      <w:pPr>
        <w:jc w:val="both"/>
      </w:pPr>
      <w:r>
        <w:rPr>
          <w:rFonts w:ascii="Arial" w:hAnsi="Arial"/>
          <w:b w:val="0"/>
          <w:i w:val="0"/>
          <w:sz w:val="22"/>
        </w:rPr>
        <w:t>El sistema incorpora un componente conversacional que permite al usuario formular preguntas sobre el contenido generado. A diferencia de la transformación inicial, la conversación es un proceso acumulativo cuyo riesgo principal es la deriva respecto de la fuente: la posibilidad de que las respuestas sucesivas se alejen del documento original y se mezclen con conocimiento general del modelo sin que el usuario lo advierta. Por ello, se establece que cada respuesta debe anclarse obligatoriamente a un fragmento verificable del documento original —extendiendo el criterio de trazabilidad de A1 a cada turno—, y que, cuando una respuesta no pueda anclarse, el sistema debe declararlo explícitamente en lugar de responder con confianza injustificada. Coherente con el paradigma de Generative UI, las respuestas se presentan como componentes interactivos cuando el contenido lo amerita, y no como texto plano que desaparece en el desplazamiento.</w:t>
      </w:r>
    </w:p>
    <w:p>
      <w:pPr>
        <w:spacing w:before="200" w:after="80"/>
      </w:pPr>
      <w:r>
        <w:rPr>
          <w:rFonts w:ascii="Arial" w:hAnsi="Arial"/>
          <w:b/>
          <w:i/>
          <w:sz w:val="22"/>
        </w:rPr>
        <w:t>Adaptación al perfil del usuario</w:t>
      </w:r>
    </w:p>
    <w:p>
      <w:pPr>
        <w:jc w:val="both"/>
      </w:pPr>
      <w:r>
        <w:rPr>
          <w:rFonts w:ascii="Arial" w:hAnsi="Arial"/>
          <w:b w:val="0"/>
          <w:i w:val="0"/>
          <w:sz w:val="22"/>
        </w:rPr>
        <w:t>La evidencia muestra que un mismo tipo de asistencia no beneficia por igual a todos los usuarios: en particular, los resúmenes automáticos pueden perjudicar la comprensión de lectores de alto desempeño mientras favorecen a los de bajo desempeño [14]. Como mitigación proporcionada al alcance del prototipo, el sistema ofrece un control explícito y simple del nivel de detalle —resumido frente a detallado— junto con el acceso permanente a la fuente original, dejando en manos del usuario la decisión sobre el grado de síntesis. Se reconoce explícitamente que esta es una mitigación parcial y no una solución completa: el sistema no infiere automáticamente el nivel de competencia del usuario, capacidad que se contempla como posible extensión futura y no como compromiso del alcance actual.</w:t>
      </w:r>
    </w:p>
    <w:p>
      <w:pPr>
        <w:spacing w:before="200" w:after="80"/>
      </w:pPr>
      <w:r>
        <w:rPr>
          <w:rFonts w:ascii="Arial" w:hAnsi="Arial"/>
          <w:b/>
          <w:i/>
          <w:sz w:val="22"/>
        </w:rPr>
        <w:t>Evaluación empírica de los lineamientos</w:t>
      </w:r>
    </w:p>
    <w:p>
      <w:pPr>
        <w:jc w:val="both"/>
      </w:pPr>
      <w:r>
        <w:rPr>
          <w:rFonts w:ascii="Arial" w:hAnsi="Arial"/>
          <w:b w:val="0"/>
          <w:i w:val="0"/>
          <w:sz w:val="22"/>
        </w:rPr>
        <w:t>La validación de la efectividad del diseño se articula en una batería de evaluación de múltiples fuentes, ajustada a los recursos reales disponibles. Se combina el instrumento subjetivo estandarizado NASA-TLX [15] con una medida objetiva de desempeño —una prueba breve de comprensión posterior al uso— y con telemetría comportamental capturada de forma nativa por la propia aplicación: la frecuencia de uso del mecanismo de profundización, el uso de preguntas sugeridas frente a preguntas propias, el tiempo en modo resumido frente a detallado y la verificación de fuentes. Se descarta explícitamente la instrumentación fisiológica —seguimiento ocular, electroencefalografía, pupilometría— por la ausencia de la infraestructura requerida, cuya incorporación deficiente resultaría más perjudicial que su omisión. El valor de la telemetría comportamental reside en que permite verificar empíricamente si los mecanismos de diseño adoptados en esta fase generaron efectivamente la interacción activa que persiguen, y no únicamente medir la carga cognitiva de forma abstracta.</w:t>
      </w:r>
    </w:p>
    <w:p>
      <w:pPr>
        <w:spacing w:before="280" w:after="120"/>
      </w:pPr>
      <w:r>
        <w:rPr>
          <w:rFonts w:ascii="Arial" w:hAnsi="Arial"/>
          <w:b/>
          <w:i w:val="0"/>
          <w:sz w:val="22"/>
        </w:rPr>
        <w:t>Resultado esperado de la fase</w:t>
      </w:r>
    </w:p>
    <w:p>
      <w:pPr>
        <w:jc w:val="both"/>
      </w:pPr>
      <w:r>
        <w:rPr>
          <w:rFonts w:ascii="Arial" w:hAnsi="Arial"/>
          <w:b w:val="0"/>
          <w:i w:val="0"/>
          <w:sz w:val="22"/>
        </w:rPr>
        <w:t>El resultado de esta fase es un esquema conceptual que establece, de forma trazable a su fundamento teórico, los lineamientos para la organización, transformación y presentación de información multimodal. Dicho esquema fija un principio rector —la separación entre decisiones deterministas e interpretativas—, un conjunto de criterios de organización orientados a la reducción de la carga extrínseca (A1), un flujo de procesamiento por fases derivado de esos criterios (A2) y un conjunto de lineamientos de presentación e interacción con su correspondiente mecanismo de evaluación (A3). Este esquema constituye la especificación conceptual sobre la cual se desarrolla el prototipo funcional en la Fase 3.</w:t>
      </w:r>
    </w:p>
    <w:p>
      <w:pPr>
        <w:spacing w:before="280" w:after="120"/>
      </w:pPr>
      <w:r>
        <w:rPr>
          <w:rFonts w:ascii="Arial" w:hAnsi="Arial"/>
          <w:b/>
          <w:i w:val="0"/>
          <w:sz w:val="22"/>
        </w:rPr>
        <w:t>Referencias</w:t>
      </w:r>
    </w:p>
    <w:p>
      <w:pPr>
        <w:spacing w:after="120"/>
        <w:jc w:val="both"/>
      </w:pPr>
      <w:r>
        <w:rPr>
          <w:rFonts w:ascii="Arial" w:hAnsi="Arial"/>
          <w:b w:val="0"/>
          <w:i w:val="0"/>
          <w:sz w:val="20"/>
        </w:rPr>
        <w:t>[1] J. Sweller, "Cognitive load during problem solving: Effects on learning," Cognitive Science, vol. 12, no. 2, pp. 257–285, 1988.</w:t>
      </w:r>
    </w:p>
    <w:p>
      <w:pPr>
        <w:spacing w:after="120"/>
        <w:jc w:val="both"/>
      </w:pPr>
      <w:r>
        <w:rPr>
          <w:rFonts w:ascii="Arial" w:hAnsi="Arial"/>
          <w:b w:val="0"/>
          <w:i w:val="0"/>
          <w:sz w:val="20"/>
        </w:rPr>
        <w:t>[2] J. Sweller, J. J. G. van Merriënboer, and F. Paas, "Cognitive Architecture and Instructional Design: 20 Years Later," Educational Psychology Review, vol. 31, no. 2, pp. 261–292, 2019.</w:t>
      </w:r>
    </w:p>
    <w:p>
      <w:pPr>
        <w:spacing w:after="120"/>
        <w:jc w:val="both"/>
      </w:pPr>
      <w:r>
        <w:rPr>
          <w:rFonts w:ascii="Arial" w:hAnsi="Arial"/>
          <w:b w:val="0"/>
          <w:i w:val="0"/>
          <w:sz w:val="20"/>
        </w:rPr>
        <w:t>[3] R. E. Mayer, Multimedia Learning, 3rd ed. Cambridge University Press, 2021.</w:t>
      </w:r>
    </w:p>
    <w:p>
      <w:pPr>
        <w:spacing w:after="120"/>
        <w:jc w:val="both"/>
      </w:pPr>
      <w:r>
        <w:rPr>
          <w:rFonts w:ascii="Arial" w:hAnsi="Arial"/>
          <w:b w:val="0"/>
          <w:i w:val="0"/>
          <w:sz w:val="20"/>
        </w:rPr>
        <w:t>[4] W. Qian, F. Yang, Y. Cao, L. Yi, R. Gu, and Z. Wang, "Generative AI and cognitive load in education: a systematic review through the lens of cognitive load theory," Frontiers in Psychology, vol. 17, 1921504, 2026.</w:t>
      </w:r>
    </w:p>
    <w:p>
      <w:pPr>
        <w:spacing w:after="120"/>
        <w:jc w:val="both"/>
      </w:pPr>
      <w:r>
        <w:rPr>
          <w:rFonts w:ascii="Arial" w:hAnsi="Arial"/>
          <w:b w:val="0"/>
          <w:i w:val="0"/>
          <w:sz w:val="20"/>
        </w:rPr>
        <w:t>[5] Kreijkes et al., "Effects of LLM Use and Note-Taking on Reading Comprehension and Memory: A Randomised Experiment in Secondary Schools," Computers &amp; Education, vol. 243, 105514, 2026.</w:t>
      </w:r>
    </w:p>
    <w:p>
      <w:pPr>
        <w:spacing w:after="120"/>
        <w:jc w:val="both"/>
      </w:pPr>
      <w:r>
        <w:rPr>
          <w:rFonts w:ascii="Arial" w:hAnsi="Arial"/>
          <w:b w:val="0"/>
          <w:i w:val="0"/>
          <w:sz w:val="20"/>
        </w:rPr>
        <w:t>[6] P. Ginns, "Meta-analysis of the modality effect," Learning and Instruction, vol. 15, pp. 313–331, 2005.</w:t>
      </w:r>
    </w:p>
    <w:p>
      <w:pPr>
        <w:spacing w:after="120"/>
        <w:jc w:val="both"/>
      </w:pPr>
      <w:r>
        <w:rPr>
          <w:rFonts w:ascii="Arial" w:hAnsi="Arial"/>
          <w:b w:val="0"/>
          <w:i w:val="0"/>
          <w:sz w:val="20"/>
        </w:rPr>
        <w:t>[7] W. Schnotz, "Integrated model of text and picture comprehension," in The Cambridge Handbook of Multimedia Learning, Cambridge University Press.</w:t>
      </w:r>
    </w:p>
    <w:p>
      <w:pPr>
        <w:spacing w:after="120"/>
        <w:jc w:val="both"/>
      </w:pPr>
      <w:r>
        <w:rPr>
          <w:rFonts w:ascii="Arial" w:hAnsi="Arial"/>
          <w:b w:val="0"/>
          <w:i w:val="0"/>
          <w:sz w:val="20"/>
        </w:rPr>
        <w:t>[8] Z. Buçinca, M. B. Malaya, and K. Z. Gajos, "To Trust or to Think: Cognitive Forcing Functions Can Reduce Overreliance on AI in AI-assisted Decision-making," Proc. ACM Hum.-Comput. Interact., vol. 5, CSCW1, Article 188, 2021.</w:t>
      </w:r>
    </w:p>
    <w:p>
      <w:pPr>
        <w:spacing w:after="120"/>
        <w:jc w:val="both"/>
      </w:pPr>
      <w:r>
        <w:rPr>
          <w:rFonts w:ascii="Arial" w:hAnsi="Arial"/>
          <w:b w:val="0"/>
          <w:i w:val="0"/>
          <w:sz w:val="20"/>
        </w:rPr>
        <w:t>[9] G. A. Miller, "The Magical Number Seven, Plus or Minus Two," Psychological Review, vol. 63, no. 2, pp. 81–97, 1956.</w:t>
      </w:r>
    </w:p>
    <w:p>
      <w:pPr>
        <w:spacing w:after="120"/>
        <w:jc w:val="both"/>
      </w:pPr>
      <w:r>
        <w:rPr>
          <w:rFonts w:ascii="Arial" w:hAnsi="Arial"/>
          <w:b w:val="0"/>
          <w:i w:val="0"/>
          <w:sz w:val="20"/>
        </w:rPr>
        <w:t>[10] N. Cowan, "The magical number 4 in short-term memory: A reconsideration of mental storage capacity," Behavioral and Brain Sciences, vol. 24, no. 1, pp. 87–114, 2001.</w:t>
      </w:r>
    </w:p>
    <w:p>
      <w:pPr>
        <w:spacing w:after="120"/>
        <w:jc w:val="both"/>
      </w:pPr>
      <w:r>
        <w:rPr>
          <w:rFonts w:ascii="Arial" w:hAnsi="Arial"/>
          <w:b w:val="0"/>
          <w:i w:val="0"/>
          <w:sz w:val="20"/>
        </w:rPr>
        <w:t>[11] J. Nielsen, "Progressive Disclosure," Nielsen Norman Group, 2006.</w:t>
      </w:r>
    </w:p>
    <w:p>
      <w:pPr>
        <w:spacing w:after="120"/>
        <w:jc w:val="both"/>
      </w:pPr>
      <w:r>
        <w:rPr>
          <w:rFonts w:ascii="Arial" w:hAnsi="Arial"/>
          <w:b w:val="0"/>
          <w:i w:val="0"/>
          <w:sz w:val="20"/>
        </w:rPr>
        <w:t>[12] W. C. Mann and S. A. Thompson, "Rhetorical Structure Theory: Toward a functional theory of text organization," Text, vol. 8, no. 3, pp. 243–281, 1988.</w:t>
      </w:r>
    </w:p>
    <w:p>
      <w:pPr>
        <w:spacing w:after="120"/>
        <w:jc w:val="both"/>
      </w:pPr>
      <w:r>
        <w:rPr>
          <w:rFonts w:ascii="Arial" w:hAnsi="Arial"/>
          <w:b w:val="0"/>
          <w:i w:val="0"/>
          <w:sz w:val="20"/>
        </w:rPr>
        <w:t>[13] Nielsen Norman Group, "Generative UI and Outcome-Oriented Design," 2024.</w:t>
      </w:r>
    </w:p>
    <w:p>
      <w:pPr>
        <w:spacing w:after="120"/>
        <w:jc w:val="both"/>
      </w:pPr>
      <w:r>
        <w:rPr>
          <w:rFonts w:ascii="Arial" w:hAnsi="Arial"/>
          <w:b w:val="0"/>
          <w:i w:val="0"/>
          <w:sz w:val="20"/>
        </w:rPr>
        <w:t>[14] H. K. Etkin, K. J. Etkin, R. J. Carter, and C. E. Rolle, "Differential effects of GPT-based tools on comprehension of standardized passages," Frontiers in Education, vol. 10, 1506752, 2025.</w:t>
      </w:r>
    </w:p>
    <w:p>
      <w:pPr>
        <w:spacing w:after="120"/>
        <w:jc w:val="both"/>
      </w:pPr>
      <w:r>
        <w:rPr>
          <w:rFonts w:ascii="Arial" w:hAnsi="Arial"/>
          <w:b w:val="0"/>
          <w:i w:val="0"/>
          <w:sz w:val="20"/>
        </w:rPr>
        <w:t>[15] S. G. Hart and L. E. Staveland, "Development of NASA-TLX (Task Load Index): Results of empirical and theoretical research," in Human Mental Workload, Advances in Psychology, vol. 52, pp. 139–183, North-Holland, 1988.</w:t>
      </w:r>
    </w:p>
    <w:p>
      <w:pPr>
        <w:jc w:val="both"/>
      </w:pPr>
      <w:r>
        <w:rPr>
          <w:rFonts w:ascii="Arial" w:hAnsi="Arial"/>
          <w:b w:val="0"/>
          <w:i/>
          <w:color w:val="606060"/>
          <w:sz w:val="18"/>
        </w:rPr>
        <w:t>Nota sobre las referencias: la numeración de esta fase es independiente de la del Diagnóstico Tecnológico (Fase 1) y deberá unificarse en la consolidación final del documento. Todas las fuentes clásicas (Sweller, Mayer, Miller, Cowan, Ginns, Schnotz) corresponden a literatura consolidada; las fuentes de 2025–2026 (Qian et al., Kreijkes et al., Etkin et al.) corresponden a investigación reciente de consenso preliminar y se citan como tal. Se recomienda verificar los datos exactos de publicación de estas últimas contra su fuente primaria antes de la entrega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