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Características sociodemográficas y estado nutricional según institución educativa.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0.481**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0.140 †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Edad (años),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0.327 †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Peso (Kg),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51.80 (45.15, 58.00)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49.45 (43.20, 61.75)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51.15 (42.60, 60.30)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Talla (metros),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 (1.51, 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 (1.45,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 (1.51,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0.026 ‡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IMC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0.081 †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Sobrepeso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Altura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0.159 †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Dato faltante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baja (Stunting)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Grasa corporal (%),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27.38 (20.32, 29.55)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29.04 (23.63, 30.89)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27.45 (26.31, 30.95)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-0.003 ‡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IMC: Índice de Masa Corporal; OMS: Organización Mundial de la Salud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2026-02-01T21:22:19Z</dcterms:modified>
  <cp:category/>
</cp:coreProperties>
</file>