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Características basales de los escolares evaluados.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728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 = 76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Sexo, n (%)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(38)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(62)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Edad (años),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(96)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(3.9)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Peso (Kg), Mediana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(43 – 59)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Desconocido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Talla (metros), Mediana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1.53 (1.51 – 1.57)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Desconocido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IMC para la edad (OMS),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Obesidad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(25)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Sobrepeso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(32)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Grasa corporal (%), Mediana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27.7 (23.3 – 30.7)</w:t>
            </w:r>
          </w:p>
        </w:tc>
      </w:tr>
      <w:tr>
        <w:trPr>
          <w:trHeight w:val="57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Desconocido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 cardiovascular,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(85)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Elevada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(15)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Desconocido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Perfil lipídico,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(92)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(5.3)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Límite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(2.6)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Dislipidemia aterogénica,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(39)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Riesgo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(61)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Síndrome metabólico (IDF),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(96)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(3.9)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Fenotipo metabólico (WGOC),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(30)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(70)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IMC: Índice de Masa Corporal; OMS: Organización Mundial de la Salud; IDF: International Diabetes Federation; WGOC: Working Group on Obesity in China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2026-02-02T16:51:08Z</dcterms:modified>
  <cp:category/>
</cp:coreProperties>
</file>