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Comparación de indicadores de salud cardiometabólico entre las instituciones educativas.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Fenotipo metabólico (WGOC),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0.484**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0.147 †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(40.4%)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Síndrome metabólico (IDF),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0.619**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0.161 †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 VAI,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1.57 (1.22, 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 (1.16, 2.52)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1.68 (1.22, 2.02)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-0.025 ‡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Síndrome metabólico (VAI),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0.124 †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 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 (Bajo Riesgo)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Presión arterial sistólica (mmHg),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102.33 (98.67, 108.00)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101.67 (93.67, 109.00)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100.67 (91.67, 104.67)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 ‡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Presión arterial diastólica (mmHg),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66.50 (61.17, 71.17)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62.33 (58.67, 68.00)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62.33 (60.33, 67.33)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 ‡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Riesgo cardiovascular,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0.180 †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Elevada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Pulso cardíaco (latidos por minuto),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81.50 (77.83, 89.00)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90.33 (78.00, 94.00)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82.67 (78.33, 87.33)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-0.005 ‡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ICC,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(0.86,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(0.89,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(0.77, 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0.504 ‡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Riesgo cardiovascular (ICC),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0.289 †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evaluado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Triglicéridos/HDL-c,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2.44 (1.86, 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2.48 (1.70, 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2.52 (1.63, 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Dislipidemia aterogénica,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 †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Glucosa plasmática en ayunas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87.00 (83.00, 91.00)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87.00 (82.00, 93.00)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(80.00, 89.00)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Colesterol total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121.00 (112.00, 136.00)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140.00 (103.00, 159.00)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143.00 (122.00, 158.00)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Triglicéridos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 (84.00, 125.00)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105.00 (75.00, 118.00)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102.00 (78.00, 121.00)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HDL-c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(37.00, 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(35.00, 48.00)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(38.00, 51.00)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-0.013 ‡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Perfil lipídico,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0.213 †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Límite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TyG,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 (8.16, 8.60)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8.40 (8.08, 8.58)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8.35 (8.14, 8.59)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Insulinorresistencia (TyG),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&gt;0.999**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0.030 †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Insulinorresistencia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Sin 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body37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cintura-talla,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 (0.44, 0.51)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(0.44, 0.57)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 (0.43, 0.51)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0.558*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-0.012 ‡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HDL-c: High density lipoprotein; TyG: Índice triglicéridos-glucosa; VAI: Índice de adiposidad visceral; IDF: International Diabetes Federation; WGOC: Working Group on Obesity in China; ICC: Índice Cintura-Cadera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2026-02-02T16:51:37Z</dcterms:modified>
  <cp:category/>
</cp:coreProperties>
</file>