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Comparación de indicadores de salud mental y estilos de vida saludable entre las instituciones educativas.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PHQ-9, Mediana (Q1, Q3)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(5.00, 14.00)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(4.00, 15.00)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(6.00, 16.00)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0.461*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-0.006 ‡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Gravedad de la depresión,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0.294 †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Mínima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Moderadamente 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GAD-7,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(3.00, 11.00)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(2.00, 11.00)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(3.00, 15.00)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Trastorno de ansiedad generalizada,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0.525**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0.188 †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Mínima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AFHS,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 (12.00, 16.00)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15.92 (12.78, 18.40)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13.14 (9.47, 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-0.002 ‡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Dinapenia,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16.70 (13.20, 20.40)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(NA, NA)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19.10 (17.10, 20.60)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0.058 ‡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Hábitos alimentarios para adolescentes,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0.031**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0.320 †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Puntaje del PAQ-A,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2.81 (2.13,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 (2.21, 3.13)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2.36 (1.88, 2.71)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0.059 ‡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Actividad física del adolescentes,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0.239 †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Baja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(25.0%)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(18.8%)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(56.3%)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PHQ-9: Patient Health Questionnaire-9; GAD-7: Generalized Anxiety Disorder-7; AFHC: Adolescent Food Habits Checklist; PAQ-A: Physical Activity Questionnaire for Adolescents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2026-02-02T16:51:49Z</dcterms:modified>
  <cp:category/>
</cp:coreProperties>
</file>