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1. Características basales de los escolares evaluados.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80"/>
        <w:gridCol w:w="1728"/>
      </w:tblGrid>
      <w:tr>
        <w:trPr>
          <w:trHeight w:val="574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Característica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 = 76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Sexo, n (%)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Masculino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30.0 (39.5%)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Femenino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46.0 (60.5%)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Edad (años), Mediana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12.00 (12.00, 12.00)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Peso (Kg), Mediana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50.88 (43.20, 58.80)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Talla (metros), Mediana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1.53 (1.51, 1.57)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IMC para la edad (OMS),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Exceso de peso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43.0 (56.6%)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33.0 (43.4%)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Grasa corporal (%), Mediana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27.65 (23.25, 30.73)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Riesgo cardiovascular (NHLBI/CDC/AAP),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63.0 (85.1%)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Elevada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11.0 (14.9%)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Riesgo cardiometabólico (Dislipidemia aterogénica),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30.0 (39.5%)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Riesgo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46.0 (60.5%)</w:t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Síndrome metabólico (IDF),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73.0 (96.1%)</w:t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 (3.9%)</w:t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Fenotipo metabólico (WGOC),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 saludable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23.0 (30.3%)</w:t>
            </w:r>
          </w:p>
        </w:tc>
      </w:tr>
      <w:tr>
        <w:trPr>
          <w:trHeight w:val="617" w:hRule="auto"/>
        </w:trPr>
        body22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Saludable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53.0 (69.7%)</w:t>
            </w:r>
          </w:p>
        </w:tc>
      </w:tr>
      <w:tr>
        <w:trPr>
          <w:trHeight w:val="360" w:hRule="auto"/>
        </w:trPr>
        footer 1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Abreviacion: IMC: Índice de Masa Corporal; OMS: Organización Mundial de la Salud; IDF: International Diabetes Federation; WGOC: Working Group on Obesity in China; NHLBI: National Heart Lung and Blood Institute; CDC: Centers for Disease Control and Prevention; AAP: American Academy of Pediatrics</w:t>
            </w:r>
          </w:p>
        </w:tc>
      </w:tr>
    </w:tbl>
    <w:sectPr>
      <w:pgMar w:header="708" w:bottom="720" w:top="720" w:right="720" w:left="720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2026-02-04T20:37:15Z</dcterms:modified>
  <cp:category/>
</cp:coreProperties>
</file>