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Características sociodemográficas y estado nutricional según institución educativa.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Jorge Basadre - VMT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Santísima Virgen de Chapi - Pachacamac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Jesus y María - La Molina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Valor p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Tamaño del efecto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Situación económica, 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0.739**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0.168 †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Alto/Suficiente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Bajo/Vulnerable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Nivel educativo de la madre,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0.338 †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Seguro de salud del adolescente,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0.215 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EsSalud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Seguro Integral de Salud (MINSA)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0.139 †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Edad (años),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(12.00, 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(12.00, 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(12.00, 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 ‡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Peso (Kg),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51.80 (45.15, 58.00)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49.45 (43.20, 61.75)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51.15 (42.60, 60.30)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-0.026 ‡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Talla (metros),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 (1.51,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 (1.45,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 (1.51,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 ‡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IMC para la edad (OMS),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0.051 †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Exceso de peso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Grasa corporal (%),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27.38 (20.32, 29.55)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29.04 (23.63, 30.89)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27.45 (26.31, 30.95)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-0.003 ‡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RFMp (%), Mediana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29.56 (25.83, 33.43)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32.84 (24.45, 39.91)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31.02 (26.87, 34.97)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0.494*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-0.008 ‡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Prueba de Kruskal-Wallis (*); Prueba exacta de Fisher con simulación de Montecarlo (**)</w:t>
            </w:r>
          </w:p>
        </w:tc>
      </w:tr>
      <w:tr>
        <w:trPr>
          <w:trHeight w:val="360" w:hRule="auto"/>
        </w:trPr>
        footer 2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 de Cramer (†); Magnitud del efecto Eta-cuadrado (‡)</w:t>
            </w:r>
          </w:p>
        </w:tc>
      </w:tr>
      <w:tr>
        <w:trPr>
          <w:trHeight w:val="360" w:hRule="auto"/>
        </w:trPr>
        footer 3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IMC: Índice de Masa Corporal; RFMp: Relative Fat Mass pediatric; OMS: Organización Mundial de la Salud; MINSA: Ministerio de Salud del Perú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2026-02-10T15:39:36Z</dcterms:modified>
  <cp:category/>
</cp:coreProperties>
</file>