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basales de los escolares evaluados.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728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= 76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(39.5%)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 (60.5%)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Edad (años),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Peso (Kg),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50.88 (43.20, 58.80)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(metros),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1.53 (1.51, 1.57)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 (43.4%)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(23.7%)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 (32.9%)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Grasa corporal (%),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27.65 (23.25, 30.73)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63.0 (85.1%)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(14.9%)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70.0 (92.1%)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(5.3%)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(2.6%)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(39.5%)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 (60.5%)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 (96.1%)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(3.9%)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(30.3%)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53.0 (69.7%)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Salud; IDF: International Diabetes Federation; WGOC: Working Group on Obesity in China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2026-02-02T20:52:31Z</dcterms:modified>
  <cp:category/>
</cp:coreProperties>
</file>