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sociodemográficas y estado nutricional según institución educativa.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0.468**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0.140 †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Edad (años),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0.327 †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Peso (Kg),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51.80 (45.15, 58.00)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49.45 (43.20, 61.75)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51.15 (42.60, 60.30)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Talla (metros),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 (1.45,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1.54 (1.51,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0.026 ‡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0.081 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Altura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0.159 †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Dato faltante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baja (Stunting)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Grasa corporal (%),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27.38 (20.32, 29.55)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29.04 (23.63, 30.89)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27.45 (26.31, 30.95)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-0.003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2026-02-01T20:46:34Z</dcterms:modified>
  <cp:category/>
</cp:coreProperties>
</file>