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Comparación de indicadores de salud cardiometabólico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0.489**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0.147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0.161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 VAI,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1.57 (1.22,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(1.16,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1.68 (1.22,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-0.025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(VAI),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0.122 †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 (Bajo Riesgo)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sistólica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102.33 (98.67, 108.00)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101.67 (93.67, 109.00)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100.67 (91.67, 104.67)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 ‡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diastólica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66.50 (61.17, 71.17)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(58.67, 68.00)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(60.33, 67.33)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 ‡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0.175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Pulso cardíaco (latidos por minuto),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81.50 (77.83,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90.33 (78.00, 94.00)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82.67 (78.33, 87.33)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-0.005 ‡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ICC,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(0.86,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(0.89,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(0.77,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 ‡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 (ICC),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 †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evaluado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Triglicéridos/HDL-c,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2.44 (1.86,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2.48 (1.70, 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2.52 (1.63,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Glucosa plasmática en ayunas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(83.00, 91.00)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(82.00, 93.00)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(80.00,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Colesterol total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121.00 (112.00, 136.00)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140.00 (103.00, 159.00)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143.00 (122.00, 158.00)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Triglicéridos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 (84.00, 125.00)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105.00 (75.00, 118.00)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102.00 (78.00, 121.00)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HDL-c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(37.00, 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(35.00, 48.00)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(38.00, 51.00)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-0.013 ‡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TyG,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 (8.16, 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8.40 (8.08, 8.58)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8.35 (8.14, 8.59)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Insulinorresistencia (TyG),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&gt;0.999**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 †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Insulinorresistencia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Sin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cintura-talla,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 (0.44,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(0.44, 0.57)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(0.43,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-0.012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HDL-c: High density lipoprotein; TyG: Índice triglicéridos-glucosa; VAI: Índice de adiposidad visceral; IDF: International Diabetes Federation; WGOC: Working Group on Obesity in China; ICC: Índice Cintura-Cadera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2026-02-01T20:47:17Z</dcterms:modified>
  <cp:category/>
</cp:coreProperties>
</file>