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Effect Size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Fenotipo metabólico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0.468**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0.147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saludable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5.0 (21.7%)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10.0 (43.5%)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8.0 (34.8%)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Saludable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16.0 (30.8%)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15.0 (28.8%)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21.0 (40.4%)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Síndrome metabólico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0.627**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0.161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21.0 (29.2%)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23.0 (31.9%)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28.0 (38.9%)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Sí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 (66.7%)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 (33.3%)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Síndrome metabólico basado en VAI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0.169**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0.213 †</w:t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 Riesgo (MetS)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5.0 (20.8%)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8.0 (33.3%)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11.0 (45.8%)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evaluado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 (20.0%)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 (80.0%)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Saludable (Bajo Riesgo)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15.0 (32.6%)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13.0 (28.3%)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18.0 (39.1%)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Presión arterial sistólica (mmHg)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102.33 (98.67, 108.00)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101.67 (93.67, 109.00)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100.67 (91.67, 104.67)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0.347*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0.002 ‡</w:t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Presión arterial diastólica (mmHg)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66.50 (61.17, 71.17)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62.33 (58.67, 68.00)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62.33 (60.33, 67.33)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0.315*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0.004 ‡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Diagnóstico de hipertensión arterial en adolescentes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0.233**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0.183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Normal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16.0 (25.4%)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20.0 (31.7%)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27.0 (42.9%)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Elevada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 (36.4%)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5.0 (45.5%)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 (18.2%)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clasificado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 (100.0%)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Pulso cardíaco (latidos por minuto)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81.50 (77.83, 89.00)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90.33 (78.00, 94.00)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82.67 (78.33, 87.33)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0.443*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-0.005 ‡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Riesgo cardiovascular basado en ICC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0.068**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0.289 †</w:t>
            </w:r>
          </w:p>
        </w:tc>
      </w:tr>
      <w:tr>
        <w:trPr>
          <w:trHeight w:val="617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evaluado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 (100.0%)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Saludable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21.0 (29.2%)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22.0 (30.6%)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29.0 (40.3%)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Glucosa en ayunas (mg/dL)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87.00 (83.00, 91.00)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87.00 (82.00, 93.00)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83.00 (80.00, 89.00)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0.051*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Colesterol total (mg/dL)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121.00 (112.00, 136.00)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140.00 (103.00, 159.00)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143.00 (122.00, 158.00)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0.050*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Triglicéridos (mg/dL)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(84.00, 125.00)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105.00 (75.00, 118.00)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102.00 (78.00, 121.00)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0.948*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HDL-c (mg/dL)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44.00 (37.00, 50.00)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40.00 (35.00, 48.00)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44.00 (38.00, 51.00)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0.583*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-0.013 ‡</w:t>
            </w:r>
          </w:p>
        </w:tc>
      </w:tr>
      <w:tr>
        <w:trPr>
          <w:trHeight w:val="654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Índice triglicéridos-glucosa (TyG)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8.34 (8.16, 8.60)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8.40 (8.08, 8.58)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8.35 (8.14, 8.59)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0.934*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Insulinorresistencia basada en TyG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&gt;0.999**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0.030 †</w:t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Insulinorresistencia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15.0 (28.8%)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17.0 (32.7%)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20.0 (38.5%)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Sin riesgo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 (26.1%)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8.0 (34.8%)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9.0 (39.1%)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Perfil lipídico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0.171**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0.213 †</w:t>
            </w:r>
          </w:p>
        </w:tc>
      </w:tr>
      <w:tr>
        <w:trPr>
          <w:trHeight w:val="617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Aceptable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21.0 (30.4%)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22.0 (31.9%)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26.0 (37.7%)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 (75.0%)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 (25.0%)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Límite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 (100.0%)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Índice de adiposidad visceral (VAI)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1.57 (1.22, 1.76)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1.32 (1.16, 2.52)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1.68 (1.22, 2.02)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0.898*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-0.025 ‡</w:t>
            </w:r>
          </w:p>
        </w:tc>
      </w:tr>
      <w:tr>
        <w:trPr>
          <w:trHeight w:val="615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Dislipidemia aterogénica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0.918**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0.058 †</w:t>
            </w:r>
          </w:p>
        </w:tc>
      </w:tr>
      <w:tr>
        <w:trPr>
          <w:trHeight w:val="617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Normal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8.0 (26.7%)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11.0 (36.7%)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11.0 (36.7%)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Riesgo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13.0 (28.9%)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14.0 (31.1%)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18.0 (40.0%)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(%); Median (Q1, Q3)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Prueba de Kruskal-Wallis (*); Prueba exacta de Fisher con simulación de Montecarlo (**); Prueba exacta de Fisher (†); V de Cramer (†); Magnitud del efecto Eta-cuadrado (‡)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2026-01-30T12:43:22Z</dcterms:modified>
  <cp:category/>
</cp:coreProperties>
</file>