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basales de los escolares evaluados.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728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= 76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(38.2%)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 (61.8%)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(años),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50.88 (43.20, 58.80)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1.53 (1.51, 1.57)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(43.4%)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(25.0%)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 (31.6%)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27.65 (23.25, 30.73)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63.0 (85.1%)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(14.9%)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70.0 (92.1%)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(5.3%)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(2.6%)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(39.5%)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 (60.5%)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 (96.1%)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(3.9%)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(30.3%)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53.0 (69.7%)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Salud; IDF: International Diabetes Federation; WGOC: Working Group on Obesity in China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2026-02-02T17:35:26Z</dcterms:modified>
  <cp:category/>
</cp:coreProperties>
</file>