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1. Características basales de los escolares evaluados.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92"/>
        <w:gridCol w:w="1728"/>
      </w:tblGrid>
      <w:tr>
        <w:trPr>
          <w:trHeight w:val="57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Característica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 = 76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Sexo, n (%)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Masculino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29.0 (38.2%)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Femenino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47.0 (61.8%)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Edad (años),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12.00 (12.00, 12.00)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Peso (Kg),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50.88 (43.20, 58.80)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Talla (metros),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1.53 (1.51, 1.57)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IMC para la edad (OMS),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33.0 (43.4%)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Obesidad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 (25.0%)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Sobrepeso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 (31.6%)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Grasa corporal (%),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27.65 (23.25, 30.73)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Riesgo cardiovascular,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63.0 (85.1%)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Elevada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 (14.9%)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Perfil lipídico,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Aceptable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70.0 (92.1%)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Alto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 (5.3%)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Límite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 (2.6%)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Dislipidemia aterogénica,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30.0 (39.5%)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Riesgo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46.0 (60.5%)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Síndrome metabólico (IDF),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73.0 (96.1%)</w:t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 (3.9%)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Fenotipo metabólico (WGOC),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 saludable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23.0 (30.3%)</w:t>
            </w:r>
          </w:p>
        </w:tc>
      </w:tr>
      <w:tr>
        <w:trPr>
          <w:trHeight w:val="617" w:hRule="auto"/>
        </w:trPr>
        body27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Saludable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53.0 (69.7%)</w:t>
            </w:r>
          </w:p>
        </w:tc>
      </w:tr>
      <w:tr>
        <w:trPr>
          <w:trHeight w:val="360" w:hRule="auto"/>
        </w:trPr>
        footer 1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Abreviacion: IMC: Índice de Masa Corporal; OMS: Organización Mundial de la Salud; IDF: International Diabetes Federation; WGOC: Working Group on Obesity in China</w:t>
            </w:r>
          </w:p>
        </w:tc>
      </w:tr>
    </w:tbl>
    <w:sectPr>
      <w:pgMar w:header="708" w:bottom="720" w:top="720" w:right="720" w:left="720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2026-02-02T17:06:31Z</dcterms:modified>
  <cp:category/>
</cp:coreProperties>
</file>