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Características sociodemográficas y estado nutricional según institución educativa.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Sexo,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0.456**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0.140 †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Edad (años),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(12.00, 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(12.00, 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(12.00, 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0.082 ‡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Peso (Kg),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51.80 (45.15, 58.00)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49.45 (43.20, 61.75)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51.15 (42.60, 60.30)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Talla (metros),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1.54 (1.51, 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 (1.45,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1.54 (1.51,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0.026 ‡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IMC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0.081 †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Sobrepeso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Altura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0.159 †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Dato faltante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baja (Stunting)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Grasa corporal (%),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27.38 (20.32, 29.55)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29.04 (23.63, 30.89)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27.45 (26.31, 30.95)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0.409*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-0.003 ‡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IMC: Índice de Masa Corporal; OMS: Organización Mundial de la Salud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2026-02-02T17:06:38Z</dcterms:modified>
  <cp:category/>
</cp:coreProperties>
</file>