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Comparación de indicadores de salud cardiometabólico entre las instituciones educativas.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Fenotipo metabólico (WGOC),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0.504**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0.147 †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(40.4%)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Síndrome metabólico (IDF),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0.161 †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VAI,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1.57 (1.22, 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 (1.16, 2.52)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1.68 (1.22, 2.02)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-0.025 ‡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Síndrome metabólico (VAI),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0.124 †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 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 (Bajo Riesgo)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Presión arterial sistólica (mmHg),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102.33 (98.67, 108.00)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101.67 (93.67, 109.00)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100.67 (91.67, 104.67)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0.347*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 ‡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Presión arterial diastólica (mmHg),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66.50 (61.17, 71.17)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62.33 (58.67, 68.00)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62.33 (60.33, 67.33)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 ‡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 cardiovascular,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0.180 †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Elevada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Pulso cardíaco (latidos por minuto),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81.50 (77.83, 89.00)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90.33 (78.00, 94.00)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82.67 (78.33, 87.33)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-0.005 ‡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ICC,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(0.86,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 (0.89,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(0.77, 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0.504 ‡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 cardiovascular (ICC),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0.289 †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evaluado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Índice Triglicéridos/HDL-c,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2.44 (1.86, 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2.48 (1.70, 3.37)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2.52 (1.63, 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Dislipidemia aterogénica,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0.058 †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Glucosa plasmática en ayunas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87.00 (83.00, 91.00)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87.00 (82.00, 93.00)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(80.00, 89.00)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 ‡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Colesterol total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121.00 (112.00, 136.00)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140.00 (103.00, 159.00)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143.00 (122.00, 158.00)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 ‡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Triglicéridos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100.00 (84.00, 125.00)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105.00 (75.00, 118.00)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102.00 (78.00, 121.00)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HDL-c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44.00 (37.00, 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(35.00, 48.00)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44.00 (38.00, 51.00)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-0.013 ‡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Perfil lipídico,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0.213 †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Límite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TyG,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 (8.16, 8.60)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8.40 (8.08, 8.58)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8.35 (8.14, 8.59)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Resistencia a la insulina (TyG),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&gt;0.999**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0.030 †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Insulinorresistencia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Sin 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body37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Índice cintura-talla,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 (0.44, 0.51)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 (0.44, 0.57)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 (0.43, 0.51)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0.558*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-0.012 ‡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HDL-c: High density lipoprotein; TyG: Índice triglicéridos-glucosa; VAI: Índice de adiposidad visceral; IDF: International Diabetes Federation; WGOC: Working Group on Obesity in China; ICC: Índice Cintura-Cadera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2026-02-02T19:15:25Z</dcterms:modified>
  <cp:category/>
</cp:coreProperties>
</file>