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1**. Demographic and clinical characteristics of the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Type 2 Diabetes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828)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621)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yes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207)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0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Demographic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characteristics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clinical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history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(12.9)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(13.0)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(12.8)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29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28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trHeight w:val="29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Follow-up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time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symtoms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30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</w:t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Sore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</w:tr>
      <w:tr>
        <w:trPr>
          <w:trHeight w:val="28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General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malaise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</w:t>
            </w:r>
          </w:p>
        </w:tc>
      </w:tr>
      <w:tr>
        <w:trPr>
          <w:trHeight w:val="28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</w:tr>
      <w:tr>
        <w:trPr>
          <w:trHeight w:val="3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</w:tr>
      <w:tr>
        <w:trPr>
          <w:trHeight w:val="29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trHeight w:val="28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Anosmia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</w:tr>
      <w:tr>
        <w:trPr>
          <w:trHeight w:val="299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Dysgeusia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</w:t>
            </w:r>
          </w:p>
        </w:tc>
      </w:tr>
      <w:tr>
        <w:trPr>
          <w:trHeight w:val="30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trHeight w:val="28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Diarrhea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</w:tr>
      <w:tr>
        <w:trPr>
          <w:trHeight w:val="299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</w:t>
            </w:r>
          </w:p>
        </w:tc>
      </w:tr>
      <w:tr>
        <w:trPr>
          <w:trHeight w:val="28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</w:tr>
      <w:tr>
        <w:trPr>
          <w:trHeight w:val="29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Abdominal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3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Vital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0.045</w:t>
            </w:r>
          </w:p>
        </w:tc>
      </w:tr>
      <w:tr>
        <w:trPr>
          <w:trHeight w:val="299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trHeight w:val="283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</w:tr>
      <w:tr>
        <w:trPr>
          <w:trHeight w:val="28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0.014</w:t>
            </w:r>
          </w:p>
        </w:tc>
      </w:tr>
      <w:tr>
        <w:trPr>
          <w:trHeight w:val="28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29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28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body38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73.5)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(SD); n (%); Median (IQR)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Two Sample t-test; Pearson's Chi-squared test; Wilcoxon rank sum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2024-12-28T22:50:03Z</dcterms:modified>
  <cp:category/>
</cp:coreProperties>
</file>