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3**. Demographic and clinical characteristics of the patients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2024-07-10T19:40:14Z</dcterms:modified>
  <cp:category/>
</cp:coreProperties>
</file>