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3**. Demographic and clinical characteristics of the patients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trHeight w:val="29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9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trHeight w:val="29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(7.7%)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2024-07-10T20:07:13Z</dcterms:modified>
  <cp:category/>
</cp:coreProperties>
</file>