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5. Multivariable logistic regression by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8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169)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487)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</w:t>
            </w:r>
          </w:p>
        </w:tc>
      </w:tr>
      <w:tr>
        <w:trPr>
          <w:trHeight w:val="29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</w:tr>
      <w:tr>
        <w:trPr>
          <w:trHeight w:val="28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29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</w:tr>
      <w:tr>
        <w:trPr>
          <w:trHeight w:val="2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6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3.74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5.49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 2
        <w:tc>
          <w:tcPr>
            <w:gridSpan w:val="1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 = 95%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2024-06-28T21:01:49Z</dcterms:modified>
  <cp:category/>
</cp:coreProperties>
</file>