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S2. Sensitivity to categorization of continuous data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8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168)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446)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0.767</w:t>
            </w:r>
          </w:p>
        </w:tc>
      </w:tr>
      <w:tr>
        <w:trPr>
          <w:trHeight w:val="29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0.614</w:t>
            </w:r>
          </w:p>
        </w:tc>
      </w:tr>
      <w:tr>
        <w:trPr>
          <w:trHeight w:val="28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</w:tr>
      <w:tr>
        <w:trPr>
          <w:trHeight w:val="3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8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79" w:hRule="auto"/>
        </w:trPr>
        body20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1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</w:t>
            </w:r>
          </w:p>
        </w:tc>
      </w:tr>
      <w:tr>
        <w:trPr>
          <w:trHeight w:val="360" w:hRule="auto"/>
        </w:trPr>
        footer 2
        <w:tc>
          <w:tcPr>
            <w:gridSpan w:val="1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 = 95%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2024-12-29T04:36:35Z</dcterms:modified>
  <cp:category/>
</cp:coreProperties>
</file>